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丰收信福2025年第328期</w:t>
      </w:r>
      <w:r>
        <w:rPr>
          <w:rFonts w:ascii="方正小标宋简体" w:eastAsia="方正小标宋简体"/>
          <w:sz w:val="32"/>
          <w:szCs w:val="32"/>
        </w:rPr>
        <w:t>封闭净值型理财产品</w:t>
      </w:r>
      <w:r>
        <w:rPr>
          <w:rFonts w:hint="eastAsia" w:ascii="方正小标宋简体" w:eastAsia="方正小标宋简体"/>
          <w:sz w:val="32"/>
          <w:szCs w:val="32"/>
        </w:rPr>
        <w:t>风险揭示书</w:t>
      </w:r>
    </w:p>
    <w:p>
      <w:pPr>
        <w:spacing w:line="310" w:lineRule="exact"/>
        <w:rPr>
          <w:rFonts w:ascii="仿宋_GB2312" w:hAnsi="宋体" w:eastAsia="仿宋_GB2312"/>
          <w:b/>
          <w:sz w:val="24"/>
        </w:rPr>
      </w:pPr>
    </w:p>
    <w:p>
      <w:pPr>
        <w:spacing w:line="310" w:lineRule="exact"/>
        <w:rPr>
          <w:rFonts w:ascii="宋体" w:hAnsi="宋体"/>
          <w:szCs w:val="21"/>
        </w:rPr>
      </w:pPr>
      <w:r>
        <w:rPr>
          <w:rFonts w:hint="eastAsia" w:ascii="宋体" w:hAnsi="宋体"/>
          <w:szCs w:val="21"/>
        </w:rPr>
        <w:t>尊敬的客户:</w:t>
      </w:r>
    </w:p>
    <w:p>
      <w:pPr>
        <w:spacing w:line="310" w:lineRule="exact"/>
        <w:ind w:firstLine="422" w:firstLineChars="200"/>
        <w:rPr>
          <w:rFonts w:ascii="宋体" w:hAnsi="宋体"/>
          <w:b/>
          <w:szCs w:val="21"/>
        </w:rPr>
      </w:pPr>
      <w:r>
        <w:rPr>
          <w:rFonts w:hint="eastAsia" w:ascii="宋体" w:hAnsi="宋体"/>
          <w:b/>
          <w:szCs w:val="21"/>
        </w:rPr>
        <w:t>理财非存款、产品有风险、投资须谨慎。</w:t>
      </w:r>
    </w:p>
    <w:p>
      <w:pPr>
        <w:spacing w:line="310" w:lineRule="exact"/>
        <w:ind w:firstLine="422" w:firstLineChars="200"/>
        <w:rPr>
          <w:rFonts w:ascii="宋体" w:hAnsi="宋体"/>
          <w:b/>
          <w:szCs w:val="21"/>
        </w:rPr>
      </w:pPr>
      <w:r>
        <w:rPr>
          <w:rFonts w:hint="eastAsia" w:ascii="宋体" w:hAnsi="宋体"/>
          <w:b/>
          <w:szCs w:val="21"/>
        </w:rPr>
        <w:t>您购买的本款产品是由宁波慈溪农村商业银行股份有限公司（以下简称“本行”）自主发售的理财产品。为保障您的合法权益，请您在进行金融投资时，警惕任何人与机构假借本行理财产品之名推介、推销其他类型产品。</w:t>
      </w:r>
    </w:p>
    <w:p>
      <w:pPr>
        <w:spacing w:line="310" w:lineRule="exact"/>
        <w:ind w:firstLine="422" w:firstLineChars="200"/>
        <w:rPr>
          <w:rFonts w:ascii="宋体" w:hAnsi="宋体"/>
          <w:b/>
          <w:szCs w:val="21"/>
        </w:rPr>
      </w:pPr>
      <w:r>
        <w:rPr>
          <w:rFonts w:hint="eastAsia" w:ascii="宋体" w:hAnsi="宋体"/>
          <w:b/>
          <w:szCs w:val="21"/>
        </w:rPr>
        <w:t>如影响您风险承受能力的因素发生变化，请及时完成风险承受能力评估。</w:t>
      </w:r>
    </w:p>
    <w:p>
      <w:pPr>
        <w:spacing w:line="310" w:lineRule="exact"/>
        <w:ind w:firstLine="422" w:firstLineChars="200"/>
        <w:rPr>
          <w:rFonts w:ascii="宋体" w:hAnsi="宋体" w:cs="宋体"/>
          <w:b/>
          <w:color w:val="000000"/>
          <w:kern w:val="0"/>
          <w:szCs w:val="21"/>
        </w:rPr>
      </w:pPr>
      <w:r>
        <w:rPr>
          <w:rFonts w:hint="eastAsia" w:ascii="宋体" w:hAnsi="宋体" w:cs="宋体"/>
          <w:b/>
          <w:color w:val="000000"/>
          <w:kern w:val="0"/>
          <w:szCs w:val="21"/>
        </w:rPr>
        <w:t>本理财产品不保证本金和收益，您的本金与收益可能会因市场变动而蒙受重大损失，请您根据自身理财目标、投资经验、财务状况、风险承受能力以及其他相关情况慎重考虑购买理财产品，充分认识投资风险，谨慎投资。</w:t>
      </w:r>
    </w:p>
    <w:p>
      <w:pPr>
        <w:spacing w:line="310" w:lineRule="exact"/>
        <w:ind w:firstLine="527" w:firstLineChars="250"/>
        <w:rPr>
          <w:rFonts w:ascii="宋体" w:hAnsi="宋体" w:cs="宋体"/>
          <w:b/>
          <w:color w:val="000000"/>
          <w:kern w:val="0"/>
          <w:szCs w:val="21"/>
        </w:rPr>
      </w:pPr>
      <w:r>
        <w:rPr>
          <w:rFonts w:hint="eastAsia" w:ascii="宋体" w:hAnsi="宋体" w:cs="宋体"/>
          <w:b/>
          <w:color w:val="000000"/>
          <w:kern w:val="0"/>
          <w:szCs w:val="21"/>
        </w:rPr>
        <w:t>一、本风险揭示书列示的风险是指理财产品项下可能涉及的风险，包括但不限于：</w:t>
      </w:r>
    </w:p>
    <w:p>
      <w:pPr>
        <w:spacing w:line="310" w:lineRule="exact"/>
        <w:ind w:firstLine="420" w:firstLineChars="200"/>
        <w:rPr>
          <w:rFonts w:ascii="宋体" w:hAnsi="宋体"/>
          <w:color w:val="000000"/>
          <w:szCs w:val="21"/>
        </w:rPr>
      </w:pPr>
      <w:r>
        <w:rPr>
          <w:rFonts w:hint="eastAsia" w:ascii="宋体" w:hAnsi="宋体"/>
          <w:color w:val="000000"/>
          <w:szCs w:val="21"/>
        </w:rPr>
        <w:t>（一）</w:t>
      </w:r>
      <w:r>
        <w:rPr>
          <w:rFonts w:hint="eastAsia" w:ascii="宋体" w:hAnsi="宋体"/>
          <w:b/>
          <w:color w:val="000000"/>
          <w:szCs w:val="21"/>
        </w:rPr>
        <w:t>信用风险</w:t>
      </w:r>
      <w:r>
        <w:rPr>
          <w:rFonts w:hint="eastAsia" w:ascii="宋体" w:hAnsi="宋体"/>
          <w:color w:val="000000"/>
          <w:szCs w:val="21"/>
        </w:rPr>
        <w:t>：本期理财产品为</w:t>
      </w:r>
      <w:r>
        <w:rPr>
          <w:rFonts w:hint="eastAsia" w:ascii="宋体" w:hAnsi="宋体"/>
          <w:b/>
          <w:color w:val="000000"/>
          <w:szCs w:val="21"/>
        </w:rPr>
        <w:t>非保本浮动收益型理财产品</w:t>
      </w:r>
      <w:r>
        <w:rPr>
          <w:rFonts w:hint="eastAsia" w:ascii="宋体" w:hAnsi="宋体"/>
          <w:color w:val="000000"/>
          <w:szCs w:val="21"/>
        </w:rPr>
        <w:t>，如果发生理财产品项下所投资金融工具完全或部分丧失变现能力的不利情况，投资者将面临理财本金损失的风险。</w:t>
      </w:r>
    </w:p>
    <w:p>
      <w:pPr>
        <w:spacing w:line="310" w:lineRule="exact"/>
        <w:ind w:firstLine="420" w:firstLineChars="200"/>
        <w:rPr>
          <w:rFonts w:ascii="宋体" w:hAnsi="宋体"/>
          <w:color w:val="000000"/>
          <w:szCs w:val="21"/>
        </w:rPr>
      </w:pPr>
      <w:r>
        <w:rPr>
          <w:rFonts w:hint="eastAsia" w:ascii="宋体" w:hAnsi="宋体"/>
          <w:color w:val="000000"/>
          <w:szCs w:val="21"/>
        </w:rPr>
        <w:t>（二）</w:t>
      </w:r>
      <w:r>
        <w:rPr>
          <w:rFonts w:hint="eastAsia" w:ascii="宋体" w:hAnsi="宋体"/>
          <w:b/>
          <w:color w:val="000000"/>
          <w:szCs w:val="21"/>
        </w:rPr>
        <w:t>市场风险</w:t>
      </w:r>
      <w:r>
        <w:rPr>
          <w:rFonts w:hint="eastAsia" w:ascii="宋体" w:hAnsi="宋体"/>
          <w:color w:val="000000"/>
          <w:szCs w:val="21"/>
        </w:rPr>
        <w:t>：本产品在实际运作过程中，由于市场的变化会造成本产品投资的资产价格发生波动，从而影响本产品的收益，客户面临本金和收益遭受损失的风险。</w:t>
      </w:r>
    </w:p>
    <w:p>
      <w:pPr>
        <w:spacing w:line="310" w:lineRule="exact"/>
        <w:ind w:firstLine="420" w:firstLineChars="200"/>
        <w:rPr>
          <w:rFonts w:ascii="宋体" w:hAnsi="宋体"/>
          <w:color w:val="000000"/>
          <w:szCs w:val="21"/>
        </w:rPr>
      </w:pPr>
      <w:r>
        <w:rPr>
          <w:rFonts w:hint="eastAsia" w:ascii="宋体" w:hAnsi="宋体"/>
          <w:color w:val="000000"/>
          <w:szCs w:val="21"/>
        </w:rPr>
        <w:t>（三）</w:t>
      </w:r>
      <w:r>
        <w:rPr>
          <w:rFonts w:hint="eastAsia" w:ascii="宋体" w:hAnsi="宋体"/>
          <w:b/>
          <w:color w:val="000000"/>
          <w:szCs w:val="21"/>
        </w:rPr>
        <w:t>流动性风险</w:t>
      </w:r>
      <w:r>
        <w:rPr>
          <w:rFonts w:hint="eastAsia" w:ascii="宋体" w:hAnsi="宋体"/>
          <w:color w:val="000000"/>
          <w:szCs w:val="21"/>
        </w:rPr>
        <w:t>：除本理财产品说明书约定的客户可提前赎回的情形外，本理财产品到期前客户无权提前终止或提前赎回，可能致使客户丧失其他投资机会。</w:t>
      </w:r>
    </w:p>
    <w:p>
      <w:pPr>
        <w:spacing w:line="310" w:lineRule="exact"/>
        <w:ind w:firstLine="420" w:firstLineChars="200"/>
        <w:rPr>
          <w:rFonts w:ascii="宋体" w:hAnsi="宋体"/>
          <w:color w:val="000000"/>
          <w:szCs w:val="21"/>
        </w:rPr>
      </w:pPr>
      <w:r>
        <w:rPr>
          <w:rFonts w:hint="eastAsia" w:ascii="宋体" w:hAnsi="宋体"/>
          <w:color w:val="000000"/>
          <w:szCs w:val="21"/>
        </w:rPr>
        <w:t>（四）</w:t>
      </w:r>
      <w:r>
        <w:rPr>
          <w:rFonts w:hint="eastAsia" w:ascii="宋体" w:hAnsi="宋体"/>
          <w:b/>
          <w:color w:val="000000"/>
          <w:szCs w:val="21"/>
        </w:rPr>
        <w:t>法律与政策风险</w:t>
      </w:r>
      <w:r>
        <w:rPr>
          <w:rFonts w:hint="eastAsia" w:ascii="宋体" w:hAnsi="宋体"/>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pPr>
        <w:spacing w:line="310" w:lineRule="exact"/>
        <w:ind w:firstLine="420" w:firstLineChars="200"/>
        <w:rPr>
          <w:rFonts w:ascii="宋体" w:hAnsi="宋体"/>
          <w:color w:val="000000"/>
          <w:szCs w:val="21"/>
        </w:rPr>
      </w:pPr>
      <w:r>
        <w:rPr>
          <w:rFonts w:hint="eastAsia" w:ascii="宋体" w:hAnsi="宋体"/>
          <w:color w:val="000000"/>
          <w:szCs w:val="21"/>
        </w:rPr>
        <w:t>（五）</w:t>
      </w:r>
      <w:r>
        <w:rPr>
          <w:rFonts w:hint="eastAsia" w:ascii="宋体" w:hAnsi="宋体"/>
          <w:b/>
          <w:color w:val="000000"/>
          <w:szCs w:val="21"/>
        </w:rPr>
        <w:t>早偿风险</w:t>
      </w:r>
      <w:r>
        <w:rPr>
          <w:rFonts w:hint="eastAsia" w:ascii="宋体" w:hAnsi="宋体"/>
          <w:color w:val="000000"/>
          <w:szCs w:val="21"/>
        </w:rPr>
        <w:t>：在本期理财产品存续期内，本行有权在特定情况下提前终止，一旦本期产品被提前终止，则实际理财期可能小于预定期限，客户则无法实现期初预计的全部收益。</w:t>
      </w:r>
    </w:p>
    <w:p>
      <w:pPr>
        <w:spacing w:line="310" w:lineRule="exact"/>
        <w:ind w:firstLine="420" w:firstLineChars="200"/>
        <w:rPr>
          <w:rFonts w:ascii="宋体" w:hAnsi="宋体"/>
          <w:color w:val="000000"/>
          <w:szCs w:val="21"/>
        </w:rPr>
      </w:pPr>
      <w:r>
        <w:rPr>
          <w:rFonts w:hint="eastAsia" w:ascii="宋体" w:hAnsi="宋体"/>
          <w:color w:val="000000"/>
          <w:szCs w:val="21"/>
        </w:rPr>
        <w:t>（六）</w:t>
      </w:r>
      <w:r>
        <w:rPr>
          <w:rFonts w:hint="eastAsia" w:ascii="宋体" w:hAnsi="宋体"/>
          <w:b/>
          <w:color w:val="000000"/>
          <w:szCs w:val="21"/>
        </w:rPr>
        <w:t>延期支付风险</w:t>
      </w:r>
      <w:r>
        <w:rPr>
          <w:rFonts w:hint="eastAsia" w:ascii="宋体" w:hAnsi="宋体"/>
          <w:color w:val="000000"/>
          <w:szCs w:val="21"/>
        </w:rPr>
        <w:t>：如因理财产品项下对应的理财财产不能及时变现等原因造成理财产品不能按时偿还本金及收益，理财产品将面临期限相应延长或进行二次清算的可能。</w:t>
      </w:r>
    </w:p>
    <w:p>
      <w:pPr>
        <w:spacing w:line="310" w:lineRule="exact"/>
        <w:ind w:firstLine="420" w:firstLineChars="200"/>
        <w:rPr>
          <w:rFonts w:ascii="宋体" w:hAnsi="宋体"/>
          <w:color w:val="000000"/>
          <w:szCs w:val="21"/>
        </w:rPr>
      </w:pPr>
      <w:r>
        <w:rPr>
          <w:rFonts w:hint="eastAsia" w:ascii="宋体" w:hAnsi="宋体"/>
          <w:color w:val="000000"/>
          <w:szCs w:val="21"/>
        </w:rPr>
        <w:t>（七）</w:t>
      </w:r>
      <w:r>
        <w:rPr>
          <w:rFonts w:hint="eastAsia" w:ascii="宋体" w:hAnsi="宋体"/>
          <w:b/>
          <w:color w:val="000000"/>
          <w:szCs w:val="21"/>
        </w:rPr>
        <w:t>理财产品不成立风险</w:t>
      </w:r>
      <w:r>
        <w:rPr>
          <w:rFonts w:hint="eastAsia" w:ascii="宋体" w:hAnsi="宋体"/>
          <w:color w:val="000000"/>
          <w:szCs w:val="21"/>
        </w:rPr>
        <w:t>：如理财产品募集期届满，发生本理财产品难以成立的情况，本行有权宣布本理财产品不成立。</w:t>
      </w:r>
    </w:p>
    <w:p>
      <w:pPr>
        <w:spacing w:line="310" w:lineRule="exact"/>
        <w:ind w:firstLine="420" w:firstLineChars="200"/>
        <w:rPr>
          <w:rFonts w:ascii="宋体" w:hAnsi="宋体"/>
          <w:color w:val="000000"/>
          <w:szCs w:val="21"/>
        </w:rPr>
      </w:pPr>
      <w:r>
        <w:rPr>
          <w:rFonts w:hint="eastAsia" w:ascii="宋体" w:hAnsi="宋体"/>
          <w:color w:val="000000"/>
          <w:szCs w:val="21"/>
        </w:rPr>
        <w:t>（八）</w:t>
      </w:r>
      <w:r>
        <w:rPr>
          <w:rFonts w:hint="eastAsia" w:ascii="宋体" w:hAnsi="宋体"/>
          <w:b/>
          <w:color w:val="000000"/>
          <w:szCs w:val="21"/>
        </w:rPr>
        <w:t>不达业绩比较基准的风险</w:t>
      </w:r>
      <w:r>
        <w:rPr>
          <w:rFonts w:hint="eastAsia" w:ascii="宋体" w:hAnsi="宋体"/>
          <w:color w:val="000000"/>
          <w:szCs w:val="21"/>
        </w:rPr>
        <w:t>：产品的业绩比较基准为综合考虑产品的投资组合及同类产品过往业绩等因素测算而得，不代表产品业绩的未来表现，不作为本行向您支付产品本金或收益的承诺。</w:t>
      </w:r>
      <w:r>
        <w:rPr>
          <w:rFonts w:hint="eastAsia" w:ascii="宋体" w:hAnsi="宋体"/>
          <w:b/>
          <w:color w:val="000000"/>
          <w:szCs w:val="21"/>
        </w:rPr>
        <w:t>本产品为净值型产品，业绩表现将随市场情况波动，具有不确定性，产品业绩表现存在不达业绩基准的风险。</w:t>
      </w:r>
    </w:p>
    <w:p>
      <w:pPr>
        <w:spacing w:line="310" w:lineRule="exact"/>
        <w:ind w:firstLine="420" w:firstLineChars="200"/>
        <w:rPr>
          <w:szCs w:val="21"/>
        </w:rPr>
      </w:pPr>
      <w:r>
        <w:rPr>
          <w:rFonts w:hint="eastAsia" w:ascii="宋体" w:hAnsi="宋体"/>
          <w:color w:val="000000"/>
          <w:szCs w:val="21"/>
        </w:rPr>
        <w:t>（九）</w:t>
      </w:r>
      <w:r>
        <w:rPr>
          <w:rFonts w:hint="eastAsia" w:ascii="宋体" w:hAnsi="宋体"/>
          <w:b/>
          <w:color w:val="000000"/>
          <w:szCs w:val="21"/>
        </w:rPr>
        <w:t>估值差错风险</w:t>
      </w:r>
      <w:r>
        <w:rPr>
          <w:rFonts w:hint="eastAsia" w:ascii="宋体" w:hAnsi="宋体"/>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pPr>
        <w:spacing w:line="310" w:lineRule="exact"/>
        <w:ind w:firstLine="420" w:firstLineChars="200"/>
        <w:rPr>
          <w:rFonts w:ascii="宋体" w:hAnsi="宋体"/>
          <w:szCs w:val="21"/>
        </w:rPr>
      </w:pPr>
      <w:r>
        <w:rPr>
          <w:rFonts w:hint="eastAsia" w:ascii="宋体" w:hAnsi="宋体"/>
          <w:szCs w:val="21"/>
        </w:rPr>
        <w:t>（十）</w:t>
      </w:r>
      <w:r>
        <w:rPr>
          <w:rFonts w:hint="eastAsia" w:ascii="宋体" w:hAnsi="宋体"/>
          <w:b/>
          <w:szCs w:val="21"/>
        </w:rPr>
        <w:t>信息传递风险：</w:t>
      </w:r>
      <w:r>
        <w:rPr>
          <w:rFonts w:hint="eastAsia" w:ascii="宋体" w:hAnsi="宋体"/>
          <w:szCs w:val="21"/>
        </w:rPr>
        <w:t>本期理财产品存续期内不提供账单寄送，本行将按照本期产品说明书有关“信息公告”的约定，通过本行网站（</w:t>
      </w:r>
      <w:r>
        <w:rPr>
          <w:rFonts w:hint="eastAsia" w:ascii="宋体" w:hAnsi="宋体" w:cs="宋体"/>
          <w:bCs/>
          <w:iCs/>
          <w:color w:val="000000"/>
          <w:kern w:val="0"/>
          <w:szCs w:val="21"/>
        </w:rPr>
        <w:t>www.cixibank.com</w:t>
      </w:r>
      <w:r>
        <w:rPr>
          <w:rFonts w:hint="eastAsia" w:ascii="宋体" w:hAnsi="宋体"/>
          <w:szCs w:val="21"/>
        </w:rPr>
        <w:t>）</w:t>
      </w:r>
      <w:r>
        <w:rPr>
          <w:rFonts w:hint="eastAsia" w:ascii="宋体" w:hAnsi="宋体" w:cs="宋体"/>
          <w:bCs/>
          <w:iCs/>
          <w:color w:val="000000"/>
          <w:kern w:val="0"/>
          <w:szCs w:val="21"/>
        </w:rPr>
        <w:t>或相关营业网点</w:t>
      </w:r>
      <w:r>
        <w:rPr>
          <w:rFonts w:hint="eastAsia" w:ascii="宋体" w:hAnsi="宋体"/>
          <w:szCs w:val="21"/>
        </w:rPr>
        <w:t>进行相关信息公告。客户应根据“信息公告”条款的约定，及时登录本行网站</w:t>
      </w:r>
      <w:r>
        <w:rPr>
          <w:rFonts w:hint="eastAsia" w:ascii="宋体" w:hAnsi="宋体" w:cs="宋体"/>
          <w:bCs/>
          <w:iCs/>
          <w:color w:val="000000"/>
          <w:kern w:val="0"/>
          <w:szCs w:val="21"/>
        </w:rPr>
        <w:t>或相关营业网点</w:t>
      </w:r>
      <w:r>
        <w:rPr>
          <w:rFonts w:hint="eastAsia" w:ascii="宋体" w:hAnsi="宋体"/>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pPr>
        <w:spacing w:line="310" w:lineRule="exact"/>
        <w:ind w:firstLine="420" w:firstLineChars="200"/>
        <w:rPr>
          <w:rFonts w:ascii="宋体" w:hAnsi="宋体"/>
          <w:szCs w:val="21"/>
        </w:rPr>
      </w:pPr>
      <w:r>
        <w:rPr>
          <w:rFonts w:hint="eastAsia"/>
          <w:szCs w:val="21"/>
        </w:rPr>
        <w:t>（十一）</w:t>
      </w:r>
      <w:r>
        <w:rPr>
          <w:rFonts w:hint="eastAsia" w:ascii="宋体" w:hAnsi="宋体"/>
          <w:b/>
          <w:szCs w:val="21"/>
        </w:rPr>
        <w:t>操作风险</w:t>
      </w:r>
      <w:r>
        <w:rPr>
          <w:szCs w:val="21"/>
        </w:rPr>
        <w:t>：由于产品管理人的不完善或有问题的内部程序、员工和信息科技系统，以及外部事件所造成损失的风险</w:t>
      </w:r>
      <w:r>
        <w:rPr>
          <w:rFonts w:hint="eastAsia"/>
          <w:szCs w:val="21"/>
        </w:rPr>
        <w:t>。</w:t>
      </w:r>
    </w:p>
    <w:p>
      <w:pPr>
        <w:spacing w:line="310" w:lineRule="exact"/>
        <w:ind w:firstLine="420" w:firstLineChars="200"/>
        <w:rPr>
          <w:rFonts w:ascii="宋体" w:hAnsi="宋体"/>
          <w:szCs w:val="21"/>
        </w:rPr>
      </w:pPr>
      <w:r>
        <w:rPr>
          <w:rFonts w:hint="eastAsia" w:ascii="宋体" w:hAnsi="宋体"/>
          <w:szCs w:val="21"/>
        </w:rPr>
        <w:t>（十二）</w:t>
      </w:r>
      <w:r>
        <w:rPr>
          <w:rFonts w:hint="eastAsia" w:ascii="宋体" w:hAnsi="宋体"/>
          <w:b/>
          <w:szCs w:val="21"/>
        </w:rPr>
        <w:t>管理风险</w:t>
      </w:r>
      <w:r>
        <w:rPr>
          <w:rFonts w:hint="eastAsia" w:ascii="宋体" w:hAnsi="宋体"/>
          <w:szCs w:val="21"/>
        </w:rPr>
        <w:t>：</w:t>
      </w:r>
      <w:r>
        <w:rPr>
          <w:rFonts w:ascii="宋体" w:hAnsi="宋体"/>
          <w:szCs w:val="21"/>
        </w:rPr>
        <w:t>理财产品管理人或理财投资资产相关服务机构受经验、技能等因素的限制，或者上述主体处理事务不当等，</w:t>
      </w:r>
      <w:r>
        <w:rPr>
          <w:rFonts w:hint="eastAsia" w:ascii="宋体" w:hAnsi="宋体"/>
          <w:szCs w:val="21"/>
        </w:rPr>
        <w:t>可能会影响本产品的投资管理，从而影响本产品的投资收益，甚至本金损失。</w:t>
      </w:r>
    </w:p>
    <w:p>
      <w:pPr>
        <w:spacing w:line="310" w:lineRule="exact"/>
        <w:ind w:firstLine="420" w:firstLineChars="200"/>
        <w:rPr>
          <w:rFonts w:ascii="宋体" w:hAnsi="宋体"/>
          <w:szCs w:val="21"/>
        </w:rPr>
      </w:pPr>
      <w:r>
        <w:rPr>
          <w:rFonts w:hint="eastAsia" w:ascii="宋体" w:hAnsi="宋体"/>
          <w:szCs w:val="21"/>
        </w:rPr>
        <w:t>（十三）</w:t>
      </w:r>
      <w:r>
        <w:rPr>
          <w:rFonts w:hint="eastAsia" w:ascii="宋体" w:hAnsi="宋体"/>
          <w:b/>
          <w:szCs w:val="21"/>
        </w:rPr>
        <w:t>其他风险：</w:t>
      </w:r>
      <w:r>
        <w:rPr>
          <w:rFonts w:hint="eastAsia" w:ascii="宋体" w:hAnsi="宋体"/>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pPr>
        <w:spacing w:line="310" w:lineRule="exact"/>
        <w:ind w:firstLine="525" w:firstLineChars="250"/>
        <w:rPr>
          <w:rFonts w:ascii="宋体" w:hAnsi="宋体"/>
          <w:b/>
          <w:color w:val="000000"/>
          <w:szCs w:val="21"/>
        </w:rPr>
      </w:pPr>
      <w:r>
        <w:rPr>
          <w:rFonts w:hint="eastAsia" w:ascii="宋体" w:hAnsi="宋体"/>
          <w:szCs w:val="21"/>
        </w:rPr>
        <w:t>二、</w:t>
      </w:r>
      <w:r>
        <w:rPr>
          <w:rFonts w:hint="eastAsia" w:ascii="宋体" w:hAnsi="宋体"/>
          <w:b/>
          <w:color w:val="000000"/>
          <w:szCs w:val="21"/>
        </w:rPr>
        <w:t>产品类型、风险等级及适合群体：</w:t>
      </w:r>
    </w:p>
    <w:p>
      <w:pPr>
        <w:spacing w:line="310" w:lineRule="exact"/>
        <w:ind w:firstLine="420" w:firstLineChars="200"/>
        <w:rPr>
          <w:rFonts w:ascii="宋体" w:hAnsi="宋体"/>
          <w:szCs w:val="21"/>
        </w:rPr>
      </w:pPr>
      <w:r>
        <w:rPr>
          <w:rFonts w:hint="eastAsia" w:ascii="宋体" w:hAnsi="宋体"/>
          <w:szCs w:val="21"/>
        </w:rPr>
        <w:t>根据</w:t>
      </w:r>
      <w:r>
        <w:rPr>
          <w:rFonts w:hint="eastAsia" w:ascii="宋体" w:hAnsi="宋体" w:cs="宋体"/>
          <w:kern w:val="0"/>
          <w:szCs w:val="21"/>
        </w:rPr>
        <w:t>收益类型，</w:t>
      </w:r>
      <w:r>
        <w:rPr>
          <w:rFonts w:hint="eastAsia" w:ascii="宋体" w:hAnsi="宋体"/>
          <w:szCs w:val="21"/>
        </w:rPr>
        <w:t>本产品类型：</w:t>
      </w:r>
      <w:r>
        <w:rPr>
          <w:rFonts w:hint="eastAsia" w:ascii="宋体" w:hAnsi="宋体"/>
          <w:b/>
          <w:szCs w:val="21"/>
        </w:rPr>
        <w:t>非保本浮动收益型理财产品</w:t>
      </w:r>
      <w:r>
        <w:rPr>
          <w:rFonts w:hint="eastAsia" w:ascii="宋体" w:hAnsi="宋体"/>
          <w:szCs w:val="21"/>
        </w:rPr>
        <w:t>；根据运作方式，本产品类型：</w:t>
      </w:r>
      <w:r>
        <w:rPr>
          <w:rFonts w:hint="eastAsia" w:ascii="宋体" w:hAnsi="宋体"/>
          <w:b/>
          <w:szCs w:val="21"/>
        </w:rPr>
        <w:t>封闭式理财产品</w:t>
      </w:r>
      <w:r>
        <w:rPr>
          <w:rFonts w:hint="eastAsia" w:ascii="宋体" w:hAnsi="宋体"/>
          <w:szCs w:val="21"/>
        </w:rPr>
        <w:t>；根据</w:t>
      </w:r>
      <w:r>
        <w:rPr>
          <w:rFonts w:hint="eastAsia" w:ascii="宋体" w:hAnsi="宋体" w:cs="宋体"/>
          <w:kern w:val="0"/>
          <w:szCs w:val="21"/>
        </w:rPr>
        <w:t>投资性质，</w:t>
      </w:r>
      <w:r>
        <w:rPr>
          <w:rFonts w:hint="eastAsia" w:ascii="宋体" w:hAnsi="宋体"/>
          <w:szCs w:val="21"/>
        </w:rPr>
        <w:t>本产品类型：</w:t>
      </w:r>
      <w:r>
        <w:rPr>
          <w:rFonts w:hint="eastAsia" w:ascii="宋体" w:hAnsi="宋体" w:cs="宋体"/>
          <w:b/>
          <w:kern w:val="0"/>
          <w:szCs w:val="21"/>
        </w:rPr>
        <w:t>固定收益类理财产品</w:t>
      </w:r>
      <w:r>
        <w:rPr>
          <w:rFonts w:hint="eastAsia" w:ascii="宋体" w:hAnsi="宋体"/>
          <w:szCs w:val="21"/>
        </w:rPr>
        <w:t>，</w:t>
      </w:r>
      <w:r>
        <w:rPr>
          <w:rFonts w:hint="eastAsia" w:ascii="宋体" w:hAnsi="宋体" w:cs="宋体"/>
          <w:kern w:val="0"/>
          <w:szCs w:val="21"/>
        </w:rPr>
        <w:t>投资于存款、债券等债权类资产的比例不低于80%，</w:t>
      </w:r>
      <w:r>
        <w:rPr>
          <w:rFonts w:hint="eastAsia" w:ascii="宋体" w:hAnsi="宋体" w:cs="宋体"/>
          <w:b/>
          <w:kern w:val="0"/>
          <w:szCs w:val="21"/>
        </w:rPr>
        <w:t>慈溪农村商业银行对本产品的本金和收益不提供保证承诺，也不承诺任何固定收益</w:t>
      </w:r>
      <w:r>
        <w:rPr>
          <w:rFonts w:hint="eastAsia" w:ascii="宋体" w:hAnsi="宋体" w:cs="宋体"/>
          <w:kern w:val="0"/>
          <w:szCs w:val="21"/>
        </w:rPr>
        <w:t>。</w:t>
      </w:r>
      <w:r>
        <w:rPr>
          <w:rFonts w:hint="eastAsia" w:ascii="宋体" w:hAnsi="宋体"/>
          <w:szCs w:val="21"/>
        </w:rPr>
        <w:t>产品期限：</w:t>
      </w:r>
      <w:r>
        <w:rPr>
          <w:rFonts w:ascii="宋体" w:hAnsi="宋体"/>
          <w:szCs w:val="21"/>
        </w:rPr>
        <w:t>181</w:t>
      </w:r>
      <w:r>
        <w:rPr>
          <w:rFonts w:hint="eastAsia" w:ascii="宋体" w:hAnsi="宋体"/>
          <w:szCs w:val="21"/>
        </w:rPr>
        <w:t>天（取决于银行提前终止条款）。产品风险评级：</w:t>
      </w:r>
      <w:r>
        <w:rPr>
          <w:rFonts w:ascii="宋体" w:hAnsi="宋体"/>
          <w:szCs w:val="21"/>
        </w:rPr>
        <w:t>PR2级（中低风险）</w:t>
      </w:r>
      <w:r>
        <w:rPr>
          <w:rFonts w:hint="eastAsia" w:ascii="宋体" w:hAnsi="宋体"/>
          <w:szCs w:val="21"/>
        </w:rPr>
        <w:t>，机构客户及经本行风险承受能力评估为谨慎型、稳健型、进取型、激进型的个人客户适合购买本产品。本产品风险评级为本行内部评级结果，仅供参考，不具备法律效力。</w:t>
      </w:r>
    </w:p>
    <w:p>
      <w:pPr>
        <w:spacing w:line="310" w:lineRule="exact"/>
        <w:ind w:firstLine="420" w:firstLineChars="200"/>
        <w:rPr>
          <w:rFonts w:ascii="宋体" w:hAnsi="宋体"/>
          <w:b/>
          <w:szCs w:val="21"/>
        </w:rPr>
      </w:pPr>
      <w:r>
        <w:rPr>
          <w:rFonts w:hint="eastAsia" w:ascii="宋体" w:hAnsi="宋体"/>
          <w:szCs w:val="21"/>
        </w:rPr>
        <w:t>示例：假定投资者认购本产品10万元，如果理财产品项下所投资金融工具完全或部分丧失变现能力，那么，</w:t>
      </w:r>
      <w:r>
        <w:rPr>
          <w:rFonts w:hint="eastAsia" w:ascii="宋体" w:hAnsi="宋体"/>
          <w:b/>
          <w:szCs w:val="21"/>
        </w:rPr>
        <w:t>最不利的投资情形和投资结果，客户将面临全部本金和收益损失的风险。</w:t>
      </w:r>
    </w:p>
    <w:p>
      <w:pPr>
        <w:spacing w:line="310" w:lineRule="exact"/>
        <w:ind w:firstLine="422" w:firstLineChars="200"/>
        <w:rPr>
          <w:rFonts w:ascii="宋体" w:hAnsi="宋体"/>
          <w:b/>
          <w:szCs w:val="21"/>
        </w:rPr>
      </w:pPr>
      <w:r>
        <w:rPr>
          <w:rFonts w:hint="eastAsia" w:ascii="宋体" w:hAnsi="宋体"/>
          <w:b/>
          <w:szCs w:val="21"/>
        </w:rPr>
        <w:t>在您签署本理财产品协议书前，应当仔细阅读本风险揭示书、产品说明书和客户权益须知的全部内容，同时向我行了解本理财产品的其他相关信息，并自己独立作出是否认购本理财产品的决定。您签署本风险揭示书、理财产品协议书并将资金委托给我行运作是您真实的意思表示，您已知悉并理解理财产品的全部风险，并自愿承担由此带来的一切后果。本风险揭示书及相应理财产品协议书、理财产品说明书和客户权益须知将共同构成贵我双方理财合同的有效组成部分。</w:t>
      </w:r>
    </w:p>
    <w:p>
      <w:pPr>
        <w:spacing w:line="310" w:lineRule="exact"/>
        <w:ind w:firstLine="1050" w:firstLineChars="500"/>
        <w:jc w:val="right"/>
        <w:rPr>
          <w:rFonts w:ascii="宋体" w:hAnsi="宋体"/>
          <w:szCs w:val="21"/>
        </w:rPr>
      </w:pPr>
      <w:r>
        <w:rPr>
          <w:rFonts w:hint="eastAsia" w:ascii="宋体" w:hAnsi="宋体"/>
          <w:szCs w:val="21"/>
        </w:rPr>
        <w:t>　            　　　　　风险揭示方：宁波慈溪农村商业银行股份有限公司</w:t>
      </w:r>
    </w:p>
    <w:p>
      <w:pPr>
        <w:spacing w:line="310" w:lineRule="exact"/>
        <w:ind w:firstLine="1050" w:firstLineChars="500"/>
        <w:jc w:val="right"/>
        <w:rPr>
          <w:rFonts w:ascii="宋体" w:hAnsi="宋体"/>
          <w:szCs w:val="21"/>
        </w:rPr>
      </w:pPr>
    </w:p>
    <w:tbl>
      <w:tblPr>
        <w:tblStyle w:val="9"/>
        <w:tblW w:w="91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Pr>
          <w:p>
            <w:pPr>
              <w:spacing w:line="310" w:lineRule="exact"/>
              <w:jc w:val="center"/>
              <w:rPr>
                <w:rFonts w:ascii="宋体" w:hAnsi="宋体"/>
                <w:b/>
                <w:szCs w:val="21"/>
              </w:rPr>
            </w:pPr>
            <w:r>
              <w:rPr>
                <w:rFonts w:hint="eastAsia" w:ascii="宋体" w:hAnsi="宋体"/>
                <w:b/>
                <w:szCs w:val="21"/>
              </w:rPr>
              <w:t>客户确认栏（个人客户填写）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7" w:hRule="atLeast"/>
        </w:trPr>
        <w:tc>
          <w:tcPr>
            <w:tcW w:w="9117" w:type="dxa"/>
            <w:tcBorders>
              <w:bottom w:val="single" w:color="auto" w:sz="4" w:space="0"/>
            </w:tcBorders>
          </w:tcPr>
          <w:p>
            <w:pPr>
              <w:spacing w:line="310" w:lineRule="exact"/>
              <w:ind w:firstLine="420" w:firstLineChars="200"/>
              <w:rPr>
                <w:rFonts w:ascii="宋体" w:hAnsi="宋体"/>
                <w:szCs w:val="21"/>
              </w:rPr>
            </w:pPr>
            <w:r>
              <w:rPr>
                <w:rFonts w:hint="eastAsia" w:ascii="宋体" w:hAnsi="宋体"/>
                <w:szCs w:val="21"/>
              </w:rPr>
              <w:t>本人已经认真阅读了理财产品销售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pPr>
              <w:spacing w:line="310" w:lineRule="exact"/>
              <w:ind w:firstLine="420" w:firstLineChars="200"/>
              <w:rPr>
                <w:rFonts w:ascii="宋体" w:hAnsi="宋体"/>
                <w:szCs w:val="21"/>
              </w:rPr>
            </w:pPr>
          </w:p>
          <w:p>
            <w:pPr>
              <w:widowControl/>
              <w:spacing w:line="310" w:lineRule="exact"/>
              <w:ind w:firstLine="420"/>
              <w:jc w:val="left"/>
              <w:rPr>
                <w:rFonts w:ascii="宋体" w:hAnsi="宋体"/>
                <w:szCs w:val="21"/>
              </w:rPr>
            </w:pPr>
            <w:r>
              <w:rPr>
                <w:rFonts w:hint="eastAsia" w:ascii="宋体" w:hAnsi="宋体"/>
                <w:szCs w:val="21"/>
              </w:rPr>
              <w:t>本人确认风险承受能力评级：</w:t>
            </w:r>
            <w:r>
              <w:rPr>
                <w:rFonts w:hint="eastAsia" w:ascii="宋体" w:hAnsi="宋体"/>
                <w:b/>
                <w:szCs w:val="21"/>
                <w:u w:val="single"/>
              </w:rPr>
              <w:t xml:space="preserve">            型</w:t>
            </w:r>
            <w:r>
              <w:rPr>
                <w:rFonts w:hint="eastAsia" w:ascii="宋体" w:hAnsi="宋体"/>
                <w:szCs w:val="21"/>
              </w:rPr>
              <w:t>，风险承受能力评级不低于本理财产品的风险评级，适合购买本理财产品。</w:t>
            </w:r>
            <w:r>
              <w:rPr>
                <w:rFonts w:hint="eastAsia" w:ascii="宋体" w:hAnsi="宋体"/>
                <w:b/>
                <w:szCs w:val="21"/>
              </w:rPr>
              <w:t>如影响风险承受能力的因素发生变化，本人将及时完成风险承受能力的重新评估。</w:t>
            </w:r>
          </w:p>
          <w:p>
            <w:pPr>
              <w:spacing w:line="310" w:lineRule="exact"/>
              <w:jc w:val="center"/>
              <w:rPr>
                <w:rFonts w:ascii="宋体" w:hAnsi="宋体"/>
                <w:szCs w:val="21"/>
              </w:rPr>
            </w:pPr>
            <w:r>
              <w:rPr>
                <w:rFonts w:hint="eastAsia" w:ascii="宋体" w:hAnsi="宋体"/>
                <w:szCs w:val="21"/>
              </w:rPr>
              <w:t>（客户请全文抄录以下内容以完成确认：</w:t>
            </w:r>
            <w:r>
              <w:rPr>
                <w:rFonts w:hint="eastAsia" w:ascii="宋体" w:hAnsi="宋体"/>
                <w:b/>
                <w:szCs w:val="21"/>
              </w:rPr>
              <w:t>本人已经阅读风险揭示，愿意承担投资风险。</w:t>
            </w:r>
            <w:r>
              <w:rPr>
                <w:rFonts w:hint="eastAsia" w:ascii="宋体" w:hAnsi="宋体"/>
                <w:szCs w:val="21"/>
              </w:rPr>
              <w:t>）</w:t>
            </w:r>
          </w:p>
          <w:p>
            <w:pPr>
              <w:spacing w:line="310" w:lineRule="exact"/>
              <w:rPr>
                <w:rFonts w:ascii="宋体" w:hAnsi="宋体"/>
                <w:szCs w:val="21"/>
              </w:rPr>
            </w:pPr>
          </w:p>
          <w:p>
            <w:pPr>
              <w:spacing w:line="310" w:lineRule="exact"/>
              <w:rPr>
                <w:rFonts w:ascii="宋体" w:hAnsi="宋体"/>
                <w:b/>
                <w:szCs w:val="21"/>
                <w:u w:val="single"/>
              </w:rPr>
            </w:pPr>
            <w:r>
              <w:rPr>
                <w:rFonts w:hint="eastAsia" w:ascii="宋体" w:hAnsi="宋体"/>
                <w:b/>
                <w:szCs w:val="21"/>
                <w:u w:val="single"/>
              </w:rPr>
              <w:t xml:space="preserve">                     　       　　　　　　　                                    </w:t>
            </w:r>
          </w:p>
          <w:p>
            <w:pPr>
              <w:spacing w:line="310" w:lineRule="exact"/>
              <w:rPr>
                <w:rFonts w:ascii="宋体" w:hAnsi="宋体"/>
                <w:szCs w:val="21"/>
              </w:rPr>
            </w:pPr>
          </w:p>
          <w:p>
            <w:pPr>
              <w:spacing w:line="310" w:lineRule="exact"/>
              <w:rPr>
                <w:rFonts w:ascii="宋体" w:hAnsi="宋体"/>
                <w:szCs w:val="21"/>
              </w:rPr>
            </w:pPr>
            <w:r>
              <w:rPr>
                <w:rFonts w:hint="eastAsia" w:ascii="宋体" w:hAnsi="宋体"/>
                <w:szCs w:val="21"/>
              </w:rPr>
              <w:t>个人客户（签字）：</w:t>
            </w:r>
            <w:r>
              <w:rPr>
                <w:rFonts w:hint="eastAsia" w:ascii="宋体" w:hAnsi="宋体"/>
                <w:szCs w:val="21"/>
                <w:u w:val="single"/>
              </w:rPr>
              <w:t>　　　　　 　</w:t>
            </w:r>
            <w:r>
              <w:rPr>
                <w:rFonts w:hint="eastAsia" w:ascii="宋体" w:hAnsi="宋体"/>
                <w:szCs w:val="21"/>
              </w:rPr>
              <w:t>　　　　　　　　　日期：</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Borders>
              <w:top w:val="single" w:color="auto" w:sz="4" w:space="0"/>
              <w:bottom w:val="nil"/>
            </w:tcBorders>
          </w:tcPr>
          <w:p>
            <w:pPr>
              <w:spacing w:line="310" w:lineRule="exact"/>
              <w:jc w:val="center"/>
              <w:rPr>
                <w:rFonts w:ascii="宋体" w:hAnsi="宋体"/>
                <w:b/>
                <w:szCs w:val="21"/>
              </w:rPr>
            </w:pPr>
            <w:r>
              <w:rPr>
                <w:rFonts w:hint="eastAsia" w:ascii="宋体" w:hAnsi="宋体"/>
                <w:b/>
                <w:szCs w:val="21"/>
              </w:rPr>
              <w:t>客户确认栏（机构客户填写）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8" w:hRule="atLeast"/>
        </w:trPr>
        <w:tc>
          <w:tcPr>
            <w:tcW w:w="9117" w:type="dxa"/>
            <w:tcBorders>
              <w:top w:val="nil"/>
              <w:bottom w:val="single" w:color="auto" w:sz="4" w:space="0"/>
            </w:tcBorders>
          </w:tcPr>
          <w:p>
            <w:pPr>
              <w:spacing w:line="310" w:lineRule="exact"/>
              <w:ind w:firstLine="420" w:firstLineChars="200"/>
              <w:rPr>
                <w:rFonts w:ascii="仿宋_GB2312" w:hAnsi="宋体" w:eastAsia="仿宋_GB2312"/>
                <w:sz w:val="24"/>
              </w:rPr>
            </w:pPr>
            <w:r>
              <w:rPr>
                <w:rFonts w:hint="eastAsia" w:ascii="宋体" w:hAnsi="宋体"/>
                <w:szCs w:val="21"/>
              </w:rPr>
              <w:t>本人已经认真阅读了理财产品销售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pPr>
              <w:spacing w:line="310" w:lineRule="exact"/>
              <w:rPr>
                <w:rFonts w:ascii="宋体" w:hAnsi="宋体"/>
                <w:szCs w:val="21"/>
              </w:rPr>
            </w:pPr>
          </w:p>
          <w:p>
            <w:pPr>
              <w:spacing w:line="310" w:lineRule="exact"/>
              <w:rPr>
                <w:rFonts w:ascii="宋体" w:hAnsi="宋体"/>
                <w:szCs w:val="21"/>
              </w:rPr>
            </w:pPr>
            <w:r>
              <w:rPr>
                <w:rFonts w:hint="eastAsia" w:ascii="宋体" w:hAnsi="宋体"/>
                <w:szCs w:val="21"/>
              </w:rPr>
              <w:t xml:space="preserve">                              法定代表人</w:t>
            </w:r>
          </w:p>
          <w:p>
            <w:pPr>
              <w:spacing w:line="310" w:lineRule="exact"/>
              <w:rPr>
                <w:rFonts w:ascii="仿宋_GB2312" w:hAnsi="宋体" w:eastAsia="仿宋_GB2312"/>
                <w:sz w:val="24"/>
              </w:rPr>
            </w:pPr>
            <w:r>
              <w:rPr>
                <w:rFonts w:hint="eastAsia" w:ascii="宋体" w:hAnsi="宋体"/>
                <w:szCs w:val="21"/>
              </w:rPr>
              <w:t>机构客户（签章）：              或授权代理人（签字）：           日期：</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p>
        </w:tc>
      </w:tr>
    </w:tbl>
    <w:p>
      <w:pPr>
        <w:spacing w:line="440" w:lineRule="exact"/>
        <w:jc w:val="center"/>
        <w:sectPr>
          <w:pgSz w:w="11906" w:h="16838"/>
          <w:pgMar w:top="1247" w:right="1531" w:bottom="1247" w:left="1474" w:header="851" w:footer="992" w:gutter="0"/>
          <w:cols w:space="425" w:num="1"/>
          <w:docGrid w:type="lines" w:linePitch="312" w:charSpace="0"/>
        </w:sectPr>
      </w:pPr>
    </w:p>
    <w:p>
      <w:pPr>
        <w:spacing w:line="520" w:lineRule="exact"/>
        <w:ind w:right="-333" w:rightChars="-159"/>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ind w:right="-333" w:rightChars="-159"/>
        <w:jc w:val="center"/>
        <w:rPr>
          <w:rFonts w:ascii="方正小标宋简体" w:eastAsia="方正小标宋简体"/>
          <w:sz w:val="32"/>
          <w:szCs w:val="32"/>
        </w:rPr>
      </w:pPr>
      <w:r>
        <w:rPr>
          <w:rFonts w:hint="eastAsia" w:ascii="方正小标宋简体" w:eastAsia="方正小标宋简体"/>
          <w:sz w:val="32"/>
          <w:szCs w:val="32"/>
        </w:rPr>
        <w:t>丰收信福2025年第328期</w:t>
      </w:r>
      <w:r>
        <w:rPr>
          <w:rFonts w:ascii="方正小标宋简体" w:eastAsia="方正小标宋简体"/>
          <w:sz w:val="32"/>
          <w:szCs w:val="32"/>
        </w:rPr>
        <w:t>封闭净值型理财产品</w:t>
      </w:r>
      <w:r>
        <w:rPr>
          <w:rFonts w:hint="eastAsia" w:ascii="方正小标宋简体" w:eastAsia="方正小标宋简体"/>
          <w:sz w:val="32"/>
          <w:szCs w:val="32"/>
        </w:rPr>
        <w:t>说明书</w:t>
      </w:r>
    </w:p>
    <w:p>
      <w:pPr>
        <w:spacing w:line="360" w:lineRule="exact"/>
        <w:ind w:right="-333" w:rightChars="-159" w:firstLine="411" w:firstLineChars="196"/>
        <w:rPr>
          <w:b/>
        </w:rPr>
      </w:pPr>
      <w:bookmarkStart w:id="0" w:name="_Toc14190355"/>
    </w:p>
    <w:bookmarkEnd w:id="0"/>
    <w:p>
      <w:pPr>
        <w:spacing w:line="360" w:lineRule="exact"/>
        <w:ind w:right="-333" w:rightChars="-159" w:firstLine="411" w:firstLineChars="196"/>
        <w:rPr>
          <w:rFonts w:asciiTheme="minorEastAsia" w:hAnsiTheme="minorEastAsia"/>
          <w:b/>
        </w:rPr>
      </w:pPr>
      <w:r>
        <w:rPr>
          <w:rFonts w:hint="eastAsia" w:asciiTheme="minorEastAsia" w:hAnsiTheme="minorEastAsia"/>
          <w:b/>
        </w:rPr>
        <w:t>一、重要提示</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（一）</w:t>
      </w:r>
      <w:r>
        <w:rPr>
          <w:rFonts w:hint="eastAsia" w:cs="宋体" w:asciiTheme="minorEastAsia" w:hAnsiTheme="minorEastAsia"/>
          <w:b/>
          <w:kern w:val="0"/>
          <w:szCs w:val="21"/>
        </w:rPr>
        <w:t>理财非存款、产品有风险、投资须谨慎</w:t>
      </w:r>
      <w:r>
        <w:rPr>
          <w:rFonts w:hint="eastAsia" w:cs="宋体" w:asciiTheme="minorEastAsia" w:hAnsiTheme="minorEastAsia"/>
          <w:kern w:val="0"/>
          <w:szCs w:val="21"/>
        </w:rPr>
        <w:t>。</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（三）</w:t>
      </w:r>
      <w:r>
        <w:rPr>
          <w:rFonts w:hint="eastAsia" w:cs="宋体" w:asciiTheme="minorEastAsia" w:hAnsiTheme="minorEastAsia"/>
          <w:b/>
          <w:kern w:val="0"/>
          <w:szCs w:val="21"/>
        </w:rPr>
        <w:t>本理财产品不保证本金和收益，您的本金与收益可能会因市场变动而蒙受重大损失，您应充分认识投资风险，谨慎投资。在发生最不利情况下，投资者可能无法取得收益，并可能面临损失全部本金的风险</w:t>
      </w:r>
      <w:r>
        <w:rPr>
          <w:rFonts w:hint="eastAsia" w:cs="宋体" w:asciiTheme="minorEastAsia" w:hAnsiTheme="minorEastAsia"/>
          <w:kern w:val="0"/>
          <w:szCs w:val="21"/>
        </w:rPr>
        <w:t>。</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（四）主要风险列示：</w:t>
      </w:r>
      <w:r>
        <w:rPr>
          <w:rFonts w:hint="eastAsia" w:cs="宋体" w:asciiTheme="minorEastAsia" w:hAnsiTheme="minorEastAsia"/>
          <w:b/>
          <w:kern w:val="0"/>
          <w:szCs w:val="21"/>
        </w:rPr>
        <w:t>市场风险、信用风险</w:t>
      </w:r>
      <w:r>
        <w:rPr>
          <w:rFonts w:hint="eastAsia" w:cs="宋体" w:asciiTheme="minorEastAsia" w:hAnsiTheme="minorEastAsia"/>
          <w:kern w:val="0"/>
          <w:szCs w:val="21"/>
        </w:rPr>
        <w:t>等。</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（五）本理财产品是由宁波慈溪农村商业银行股份有限公司（以下简称“慈溪农村商业银行”）自主发售的理财产品。</w:t>
      </w:r>
      <w:r>
        <w:rPr>
          <w:rFonts w:hint="eastAsia" w:cs="宋体" w:asciiTheme="minorEastAsia" w:hAnsiTheme="minorEastAsia"/>
          <w:b/>
          <w:kern w:val="0"/>
          <w:szCs w:val="21"/>
        </w:rPr>
        <w:t>理财产品过往业绩不代表其未来表现，不等于理财产品实际收益，投资须谨慎</w:t>
      </w:r>
      <w:r>
        <w:rPr>
          <w:rFonts w:hint="eastAsia" w:cs="宋体" w:asciiTheme="minorEastAsia" w:hAnsiTheme="minorEastAsia"/>
          <w:kern w:val="0"/>
          <w:szCs w:val="21"/>
        </w:rPr>
        <w:t>。</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（六）</w:t>
      </w:r>
      <w:r>
        <w:rPr>
          <w:rFonts w:hint="eastAsia" w:cs="宋体" w:asciiTheme="minorEastAsia" w:hAnsiTheme="minor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您风险承受能力的因素发生变化，请及时完成风险承受能力评估。</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（七）在购买理财产品后，客户应随时关注该理财产品的信息披露情况，及时获取相关信息。</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（八）</w:t>
      </w:r>
      <w:r>
        <w:rPr>
          <w:rFonts w:hint="eastAsia" w:cs="宋体" w:asciiTheme="minorEastAsia" w:hAnsiTheme="minorEastAsia"/>
          <w:b/>
          <w:kern w:val="0"/>
          <w:szCs w:val="21"/>
        </w:rPr>
        <w:t>投资者不得使用贷款、发行债券等筹集的非自有资金投资资产管理产品，投资者承诺其投资理财产品使用的资金来源合法合规，并且其系为合法之目的投资理财产品，而非为洗钱等违法犯罪之目的</w:t>
      </w:r>
      <w:r>
        <w:rPr>
          <w:rFonts w:hint="eastAsia" w:cs="宋体" w:asciiTheme="minorEastAsia" w:hAnsiTheme="minorEastAsia"/>
          <w:kern w:val="0"/>
          <w:szCs w:val="21"/>
        </w:rPr>
        <w:t>，投资者将配合慈溪农村商业银行开展投资者身份识别及尽职调查等反洗钱活动，及时、真实、准确、完整提供身份信息及资金来源等信息。</w:t>
      </w:r>
      <w:r>
        <w:rPr>
          <w:rFonts w:hint="eastAsia" w:cs="宋体" w:asciiTheme="minorEastAsia" w:hAnsiTheme="minorEastAsia"/>
          <w:b/>
          <w:kern w:val="0"/>
          <w:szCs w:val="21"/>
        </w:rPr>
        <w:t>投资者在此同意并授权，慈溪农村商业银行可根据监管要求，为理财产品登记、管理等需要，向登记部门或监管机构、行政机关、司法机关等提供投资者相关信息</w:t>
      </w:r>
      <w:r>
        <w:rPr>
          <w:rFonts w:hint="eastAsia" w:cs="宋体" w:asciiTheme="minorEastAsia" w:hAnsiTheme="minorEastAsia"/>
          <w:kern w:val="0"/>
          <w:szCs w:val="21"/>
        </w:rPr>
        <w:t>。</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（九）在本产品存续期内，如出于维持本产品正常运营的需要且在不损害投资者利益的前提下，或因国家法律法规、监管规定发生变化，</w:t>
      </w:r>
      <w:r>
        <w:rPr>
          <w:rFonts w:hint="eastAsia" w:cs="宋体" w:asciiTheme="minorEastAsia" w:hAnsiTheme="minorEastAsia"/>
          <w:b/>
          <w:kern w:val="0"/>
          <w:szCs w:val="21"/>
        </w:rPr>
        <w:t>慈溪农村商业银行有权在法律允许的范围内单方对本产品说明书进行修订</w:t>
      </w:r>
      <w:r>
        <w:rPr>
          <w:rFonts w:hint="eastAsia" w:cs="宋体" w:asciiTheme="minorEastAsia" w:hAnsiTheme="minorEastAsia"/>
          <w:kern w:val="0"/>
          <w:szCs w:val="21"/>
        </w:rPr>
        <w:t>。慈溪农村商业银行决定对产品说明书进行修订的，将提前</w:t>
      </w:r>
      <w:r>
        <w:rPr>
          <w:rFonts w:cs="宋体" w:asciiTheme="minorEastAsia" w:hAnsiTheme="minorEastAsia"/>
          <w:kern w:val="0"/>
          <w:szCs w:val="21"/>
        </w:rPr>
        <w:t>2</w:t>
      </w:r>
      <w:r>
        <w:rPr>
          <w:rFonts w:hint="eastAsia" w:cs="宋体" w:asciiTheme="minorEastAsia" w:hAnsiTheme="minorEastAsia"/>
          <w:kern w:val="0"/>
          <w:szCs w:val="21"/>
        </w:rPr>
        <w:t>个工作日以在慈溪农村商业银行官方网站（</w:t>
      </w:r>
      <w:r>
        <w:rPr>
          <w:rFonts w:cs="宋体" w:asciiTheme="minorEastAsia" w:hAnsiTheme="minorEastAsia"/>
          <w:kern w:val="0"/>
          <w:szCs w:val="21"/>
        </w:rPr>
        <w:t>www.cixibank.com</w:t>
      </w:r>
      <w:r>
        <w:rPr>
          <w:rFonts w:hint="eastAsia" w:cs="宋体" w:asciiTheme="minorEastAsia" w:hAnsiTheme="minorEastAsia"/>
          <w:kern w:val="0"/>
          <w:szCs w:val="21"/>
        </w:rPr>
        <w:t>）或相关营业网点上公告的方式通知投资者。</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（十）慈溪农村商业银行有权依法对本产品说明书拥有最终解释权。</w:t>
      </w:r>
    </w:p>
    <w:p>
      <w:pPr>
        <w:spacing w:line="360" w:lineRule="exact"/>
        <w:ind w:right="-333" w:rightChars="-159" w:firstLine="420" w:firstLineChars="200"/>
      </w:pPr>
      <w:r>
        <w:rPr>
          <w:rFonts w:hint="eastAsia"/>
        </w:rPr>
        <w:t>二、产品概述</w:t>
      </w:r>
    </w:p>
    <w:tbl>
      <w:tblPr>
        <w:tblStyle w:val="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理财产品名称</w:t>
            </w:r>
          </w:p>
        </w:tc>
        <w:tc>
          <w:tcPr>
            <w:tcW w:w="6869" w:type="dxa"/>
            <w:vAlign w:val="center"/>
          </w:tcPr>
          <w:p>
            <w:pPr>
              <w:spacing w:line="360" w:lineRule="exact"/>
              <w:rPr>
                <w:rFonts w:ascii="宋体" w:hAnsi="宋体"/>
                <w:szCs w:val="21"/>
              </w:rPr>
            </w:pPr>
            <w:r>
              <w:rPr>
                <w:rFonts w:hint="eastAsia" w:ascii="宋体" w:hAnsi="宋体"/>
                <w:szCs w:val="21"/>
              </w:rPr>
              <w:t>慈</w:t>
            </w:r>
            <w:r>
              <w:rPr>
                <w:rFonts w:hint="eastAsia" w:ascii="宋体" w:hAnsi="宋体" w:cs="宋体"/>
                <w:kern w:val="0"/>
                <w:szCs w:val="21"/>
              </w:rPr>
              <w:t>溪农村商业银行丰收信福2025年第328期封闭净值型</w:t>
            </w:r>
            <w:r>
              <w:rPr>
                <w:rFonts w:ascii="宋体" w:hAnsi="宋体" w:cs="宋体"/>
                <w:kern w:val="0"/>
                <w:szCs w:val="21"/>
              </w:rPr>
              <w:t>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产品代码</w:t>
            </w:r>
          </w:p>
        </w:tc>
        <w:tc>
          <w:tcPr>
            <w:tcW w:w="6869" w:type="dxa"/>
            <w:vAlign w:val="center"/>
          </w:tcPr>
          <w:p>
            <w:pPr>
              <w:spacing w:line="360" w:lineRule="exact"/>
              <w:rPr>
                <w:rFonts w:ascii="宋体" w:hAnsi="宋体"/>
                <w:szCs w:val="21"/>
              </w:rPr>
            </w:pPr>
            <w:r>
              <w:rPr>
                <w:rFonts w:ascii="宋体" w:hAnsi="宋体"/>
                <w:szCs w:val="21"/>
              </w:rPr>
              <w:t>NBCXFSXFA25328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szCs w:val="21"/>
              </w:rPr>
            </w:pPr>
            <w:r>
              <w:rPr>
                <w:rFonts w:hint="eastAsia" w:ascii="宋体" w:hAnsi="宋体"/>
                <w:szCs w:val="21"/>
              </w:rPr>
              <w:t>理财信息登记系统登记编码</w:t>
            </w:r>
          </w:p>
        </w:tc>
        <w:tc>
          <w:tcPr>
            <w:tcW w:w="6869" w:type="dxa"/>
            <w:vAlign w:val="center"/>
          </w:tcPr>
          <w:p>
            <w:pPr>
              <w:autoSpaceDE w:val="0"/>
              <w:autoSpaceDN w:val="0"/>
              <w:spacing w:line="360" w:lineRule="exact"/>
              <w:rPr>
                <w:rFonts w:ascii="宋体" w:hAnsi="宋体"/>
                <w:szCs w:val="21"/>
              </w:rPr>
            </w:pPr>
            <w:r>
              <w:rPr>
                <w:rFonts w:ascii="宋体" w:hAnsi="宋体"/>
                <w:szCs w:val="21"/>
              </w:rPr>
              <w:t>C1123225000050</w:t>
            </w:r>
          </w:p>
          <w:p>
            <w:pPr>
              <w:autoSpaceDE w:val="0"/>
              <w:autoSpaceDN w:val="0"/>
              <w:spacing w:line="360" w:lineRule="exact"/>
              <w:rPr>
                <w:rFonts w:ascii="宋体" w:hAnsi="宋体"/>
                <w:szCs w:val="21"/>
              </w:rPr>
            </w:pPr>
            <w:r>
              <w:rPr>
                <w:rFonts w:hint="eastAsia" w:ascii="宋体" w:hAnsi="宋体"/>
                <w:sz w:val="18"/>
                <w:szCs w:val="21"/>
              </w:rPr>
              <w:t>（</w:t>
            </w:r>
            <w:r>
              <w:rPr>
                <w:rFonts w:hint="eastAsia" w:asciiTheme="minorEastAsia" w:hAnsiTheme="minorEastAsia"/>
                <w:sz w:val="18"/>
                <w:szCs w:val="21"/>
              </w:rPr>
              <w:t>可依据该登记编码，在中国理财网</w:t>
            </w:r>
            <w:r>
              <w:rPr>
                <w:rFonts w:hint="eastAsia" w:asciiTheme="minorEastAsia" w:hAnsiTheme="minorEastAsia"/>
              </w:rPr>
              <w:t>www.chinawealth.com.cn</w:t>
            </w:r>
            <w:r>
              <w:rPr>
                <w:rFonts w:hint="eastAsia" w:asciiTheme="minorEastAsia" w:hAnsiTheme="minorEastAsia"/>
                <w:sz w:val="18"/>
                <w:szCs w:val="21"/>
              </w:rPr>
              <w:t>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widowControl/>
              <w:adjustRightInd w:val="0"/>
              <w:snapToGrid w:val="0"/>
              <w:spacing w:line="276" w:lineRule="auto"/>
              <w:jc w:val="left"/>
              <w:rPr>
                <w:rFonts w:ascii="宋体" w:hAnsi="宋体"/>
                <w:szCs w:val="21"/>
              </w:rPr>
            </w:pPr>
            <w:r>
              <w:rPr>
                <w:rFonts w:hint="eastAsia" w:ascii="宋体" w:hAnsi="宋体"/>
                <w:szCs w:val="21"/>
              </w:rPr>
              <w:t>收益类型</w:t>
            </w:r>
          </w:p>
        </w:tc>
        <w:tc>
          <w:tcPr>
            <w:tcW w:w="6869" w:type="dxa"/>
          </w:tcPr>
          <w:p>
            <w:pPr>
              <w:widowControl/>
              <w:adjustRightInd w:val="0"/>
              <w:snapToGrid w:val="0"/>
              <w:spacing w:line="276" w:lineRule="auto"/>
              <w:jc w:val="left"/>
              <w:rPr>
                <w:rFonts w:ascii="宋体" w:hAnsi="宋体" w:cs="宋体"/>
                <w:b/>
                <w:kern w:val="0"/>
                <w:szCs w:val="21"/>
              </w:rPr>
            </w:pPr>
            <w:r>
              <w:rPr>
                <w:rFonts w:hint="eastAsia" w:ascii="宋体" w:hAnsi="宋体" w:cs="宋体"/>
                <w:b/>
                <w:kern w:val="0"/>
                <w:szCs w:val="21"/>
              </w:rPr>
              <w:t>非保本浮动收益型理财产品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widowControl/>
              <w:adjustRightInd w:val="0"/>
              <w:snapToGrid w:val="0"/>
              <w:spacing w:line="276" w:lineRule="auto"/>
              <w:jc w:val="left"/>
              <w:rPr>
                <w:rFonts w:ascii="宋体" w:hAnsi="宋体"/>
                <w:szCs w:val="21"/>
              </w:rPr>
            </w:pPr>
            <w:r>
              <w:rPr>
                <w:rFonts w:hint="eastAsia" w:ascii="宋体" w:hAnsi="宋体"/>
                <w:szCs w:val="21"/>
              </w:rPr>
              <w:t>运作方式</w:t>
            </w:r>
          </w:p>
        </w:tc>
        <w:tc>
          <w:tcPr>
            <w:tcW w:w="6869" w:type="dxa"/>
          </w:tcPr>
          <w:p>
            <w:pPr>
              <w:widowControl/>
              <w:adjustRightInd w:val="0"/>
              <w:snapToGrid w:val="0"/>
              <w:spacing w:line="276" w:lineRule="auto"/>
              <w:jc w:val="left"/>
              <w:rPr>
                <w:rFonts w:ascii="宋体" w:hAnsi="宋体" w:cs="宋体"/>
                <w:kern w:val="0"/>
                <w:szCs w:val="21"/>
              </w:rPr>
            </w:pPr>
            <w:r>
              <w:rPr>
                <w:rFonts w:hint="eastAsia" w:ascii="宋体" w:hAnsi="宋体" w:cs="宋体"/>
                <w:b/>
                <w:kern w:val="0"/>
                <w:szCs w:val="21"/>
              </w:rPr>
              <w:t>封闭式理财产品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widowControl/>
              <w:adjustRightInd w:val="0"/>
              <w:snapToGrid w:val="0"/>
              <w:spacing w:line="276" w:lineRule="auto"/>
              <w:jc w:val="left"/>
              <w:rPr>
                <w:rFonts w:ascii="宋体" w:hAnsi="宋体"/>
                <w:szCs w:val="21"/>
              </w:rPr>
            </w:pPr>
            <w:r>
              <w:rPr>
                <w:rFonts w:hint="eastAsia" w:ascii="宋体" w:hAnsi="宋体"/>
                <w:szCs w:val="21"/>
              </w:rPr>
              <w:t>投资性质</w:t>
            </w:r>
          </w:p>
        </w:tc>
        <w:tc>
          <w:tcPr>
            <w:tcW w:w="6869" w:type="dxa"/>
          </w:tcPr>
          <w:p>
            <w:pPr>
              <w:widowControl/>
              <w:adjustRightInd w:val="0"/>
              <w:snapToGrid w:val="0"/>
              <w:spacing w:line="276" w:lineRule="auto"/>
              <w:jc w:val="left"/>
              <w:rPr>
                <w:rFonts w:ascii="宋体" w:hAnsi="宋体" w:cs="宋体"/>
                <w:b/>
                <w:kern w:val="0"/>
                <w:szCs w:val="21"/>
              </w:rPr>
            </w:pPr>
            <w:r>
              <w:rPr>
                <w:rFonts w:hint="eastAsia" w:ascii="宋体" w:hAnsi="宋体" w:cs="宋体"/>
                <w:b/>
                <w:kern w:val="0"/>
                <w:szCs w:val="21"/>
              </w:rPr>
              <w:t>固定收益类理财产品</w:t>
            </w:r>
          </w:p>
          <w:p>
            <w:pPr>
              <w:widowControl/>
              <w:adjustRightInd w:val="0"/>
              <w:snapToGrid w:val="0"/>
              <w:spacing w:line="276" w:lineRule="auto"/>
              <w:jc w:val="left"/>
              <w:rPr>
                <w:rFonts w:ascii="宋体" w:hAnsi="宋体" w:cs="宋体"/>
                <w:kern w:val="0"/>
                <w:szCs w:val="21"/>
              </w:rPr>
            </w:pPr>
            <w:r>
              <w:rPr>
                <w:rFonts w:hint="eastAsia" w:ascii="宋体" w:hAnsi="宋体" w:cs="宋体"/>
                <w:kern w:val="0"/>
                <w:szCs w:val="21"/>
              </w:rPr>
              <w:t>固定收益类理财产品是指根据监管相关规定，投资于存款、债券等债权类资产的比例不低于80%的理财产品。</w:t>
            </w:r>
          </w:p>
          <w:p>
            <w:pPr>
              <w:widowControl/>
              <w:adjustRightInd w:val="0"/>
              <w:snapToGrid w:val="0"/>
              <w:spacing w:line="276" w:lineRule="auto"/>
              <w:jc w:val="left"/>
              <w:rPr>
                <w:rFonts w:ascii="宋体" w:hAnsi="宋体" w:cs="宋体"/>
                <w:kern w:val="0"/>
                <w:szCs w:val="21"/>
              </w:rPr>
            </w:pPr>
            <w:r>
              <w:rPr>
                <w:rFonts w:hint="eastAsia" w:ascii="宋体" w:hAnsi="宋体" w:cs="宋体"/>
                <w:b/>
                <w:kern w:val="0"/>
                <w:szCs w:val="21"/>
              </w:rPr>
              <w:t>慈溪农村商业银行对本产品的本金和收益不提供保证承诺，也不承诺任何固定收益。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autoSpaceDE w:val="0"/>
              <w:autoSpaceDN w:val="0"/>
              <w:spacing w:line="360" w:lineRule="exact"/>
              <w:rPr>
                <w:rFonts w:ascii="宋体" w:hAnsi="宋体"/>
                <w:szCs w:val="21"/>
              </w:rPr>
            </w:pPr>
            <w:r>
              <w:rPr>
                <w:rFonts w:hint="eastAsia" w:ascii="宋体" w:hAnsi="宋体"/>
                <w:szCs w:val="21"/>
              </w:rPr>
              <w:t>产品风险评级</w:t>
            </w:r>
          </w:p>
        </w:tc>
        <w:tc>
          <w:tcPr>
            <w:tcW w:w="6869" w:type="dxa"/>
          </w:tcPr>
          <w:p>
            <w:pPr>
              <w:autoSpaceDE w:val="0"/>
              <w:autoSpaceDN w:val="0"/>
              <w:spacing w:line="360" w:lineRule="exact"/>
              <w:rPr>
                <w:rFonts w:ascii="宋体" w:hAnsi="宋体"/>
                <w:b/>
                <w:szCs w:val="21"/>
              </w:rPr>
            </w:pPr>
            <w:r>
              <w:rPr>
                <w:rFonts w:ascii="宋体" w:hAnsi="宋体"/>
                <w:b/>
                <w:szCs w:val="21"/>
              </w:rPr>
              <w:t>PR2级（中低风险）</w:t>
            </w:r>
            <w:r>
              <w:rPr>
                <w:rFonts w:hint="eastAsia" w:ascii="宋体" w:hAnsi="宋体" w:cs="宋体"/>
                <w:b/>
                <w:kern w:val="0"/>
                <w:szCs w:val="21"/>
              </w:rPr>
              <w:t>（本产品风险评级仅是慈溪农村商业银行内部测评结果，仅供客户参考）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szCs w:val="21"/>
              </w:rPr>
            </w:pPr>
            <w:r>
              <w:rPr>
                <w:rFonts w:hint="eastAsia" w:ascii="宋体" w:hAnsi="宋体"/>
                <w:szCs w:val="21"/>
              </w:rPr>
              <w:t>适合客户类型</w:t>
            </w:r>
          </w:p>
        </w:tc>
        <w:tc>
          <w:tcPr>
            <w:tcW w:w="6869" w:type="dxa"/>
            <w:vAlign w:val="center"/>
          </w:tcPr>
          <w:p>
            <w:pPr>
              <w:autoSpaceDE w:val="0"/>
              <w:autoSpaceDN w:val="0"/>
              <w:spacing w:line="360" w:lineRule="exact"/>
              <w:rPr>
                <w:rFonts w:ascii="宋体"/>
                <w:szCs w:val="21"/>
              </w:rPr>
            </w:pPr>
            <w:r>
              <w:rPr>
                <w:rFonts w:hint="eastAsia" w:ascii="宋体" w:hAnsi="宋体"/>
                <w:szCs w:val="21"/>
              </w:rPr>
              <w:t>机构客户及经慈溪农村商业银行风险承受能力评估为谨慎型、稳健型、进取型、激进型的个人客户。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理财期限</w:t>
            </w:r>
          </w:p>
        </w:tc>
        <w:tc>
          <w:tcPr>
            <w:tcW w:w="6869" w:type="dxa"/>
            <w:vAlign w:val="center"/>
          </w:tcPr>
          <w:p>
            <w:pPr>
              <w:spacing w:line="360" w:lineRule="exact"/>
              <w:rPr>
                <w:rFonts w:ascii="宋体"/>
                <w:b/>
                <w:szCs w:val="21"/>
              </w:rPr>
            </w:pPr>
            <w:r>
              <w:rPr>
                <w:rFonts w:ascii="宋体" w:hAnsi="宋体"/>
                <w:b/>
                <w:szCs w:val="21"/>
              </w:rPr>
              <w:t>181</w:t>
            </w:r>
            <w:r>
              <w:rPr>
                <w:rFonts w:hint="eastAsia" w:ascii="宋体" w:hAnsi="宋体"/>
                <w:b/>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szCs w:val="21"/>
              </w:rPr>
            </w:pPr>
            <w:r>
              <w:rPr>
                <w:rFonts w:hint="eastAsia" w:ascii="宋体" w:hAnsi="宋体"/>
                <w:szCs w:val="21"/>
              </w:rPr>
              <w:t>发行方式</w:t>
            </w:r>
          </w:p>
        </w:tc>
        <w:tc>
          <w:tcPr>
            <w:tcW w:w="6869" w:type="dxa"/>
            <w:vAlign w:val="center"/>
          </w:tcPr>
          <w:p>
            <w:pPr>
              <w:spacing w:line="360" w:lineRule="exact"/>
              <w:rPr>
                <w:rFonts w:ascii="宋体" w:hAnsi="宋体"/>
                <w:szCs w:val="21"/>
              </w:rPr>
            </w:pPr>
            <w:r>
              <w:rPr>
                <w:rFonts w:hint="eastAsia" w:ascii="宋体" w:hAnsi="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exact"/>
              <w:rPr>
                <w:rFonts w:ascii="宋体"/>
                <w:szCs w:val="21"/>
              </w:rPr>
            </w:pPr>
            <w:r>
              <w:rPr>
                <w:rFonts w:hint="eastAsia" w:ascii="宋体" w:hAnsi="宋体" w:cs="楷体_GB2312"/>
                <w:szCs w:val="21"/>
              </w:rPr>
              <w:t>投资及收益币种</w:t>
            </w:r>
          </w:p>
        </w:tc>
        <w:tc>
          <w:tcPr>
            <w:tcW w:w="6869" w:type="dxa"/>
            <w:vAlign w:val="center"/>
          </w:tcPr>
          <w:p>
            <w:pPr>
              <w:autoSpaceDE w:val="0"/>
              <w:autoSpaceDN w:val="0"/>
              <w:spacing w:line="360" w:lineRule="exact"/>
              <w:rPr>
                <w:rFonts w:ascii="宋体"/>
                <w:szCs w:val="21"/>
              </w:rPr>
            </w:pPr>
            <w:r>
              <w:rPr>
                <w:rFonts w:hint="eastAsia" w:ascii="宋体" w:hAnsi="宋体"/>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产品发行规模</w:t>
            </w:r>
          </w:p>
        </w:tc>
        <w:tc>
          <w:tcPr>
            <w:tcW w:w="6869" w:type="dxa"/>
            <w:vAlign w:val="center"/>
          </w:tcPr>
          <w:p>
            <w:pPr>
              <w:widowControl/>
              <w:spacing w:line="360" w:lineRule="exact"/>
              <w:rPr>
                <w:rFonts w:ascii="宋体"/>
                <w:b/>
                <w:szCs w:val="21"/>
              </w:rPr>
            </w:pPr>
            <w:r>
              <w:rPr>
                <w:rFonts w:hint="eastAsia" w:ascii="宋体" w:hAnsi="宋体"/>
                <w:b/>
                <w:szCs w:val="21"/>
              </w:rPr>
              <w:t>不低于30万元人民币，且不超过</w:t>
            </w:r>
            <w:r>
              <w:rPr>
                <w:rFonts w:ascii="宋体" w:hAnsi="宋体"/>
                <w:b/>
                <w:szCs w:val="21"/>
              </w:rPr>
              <w:t>3</w:t>
            </w:r>
            <w:r>
              <w:rPr>
                <w:rFonts w:hint="eastAsia" w:ascii="宋体" w:hAnsi="宋体"/>
                <w:b/>
                <w:szCs w:val="21"/>
              </w:rPr>
              <w:t>000万元人民币。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募集期（认购期）</w:t>
            </w:r>
          </w:p>
        </w:tc>
        <w:tc>
          <w:tcPr>
            <w:tcW w:w="6869" w:type="dxa"/>
            <w:vAlign w:val="center"/>
          </w:tcPr>
          <w:p>
            <w:pPr>
              <w:spacing w:line="360" w:lineRule="exact"/>
              <w:rPr>
                <w:rFonts w:ascii="宋体"/>
                <w:szCs w:val="21"/>
              </w:rPr>
            </w:pPr>
            <w:r>
              <w:rPr>
                <w:rFonts w:hint="eastAsia" w:ascii="宋体" w:hAnsi="宋体"/>
                <w:szCs w:val="21"/>
              </w:rPr>
              <w:t>202</w:t>
            </w:r>
            <w:r>
              <w:rPr>
                <w:rFonts w:ascii="宋体" w:hAnsi="宋体"/>
                <w:szCs w:val="21"/>
              </w:rPr>
              <w:t>5</w:t>
            </w:r>
            <w:r>
              <w:rPr>
                <w:rFonts w:hint="eastAsia" w:ascii="宋体" w:hAnsi="宋体"/>
                <w:szCs w:val="21"/>
              </w:rPr>
              <w:t>年</w:t>
            </w:r>
            <w:r>
              <w:rPr>
                <w:rFonts w:ascii="宋体" w:hAnsi="宋体"/>
                <w:szCs w:val="21"/>
              </w:rPr>
              <w:t>7</w:t>
            </w:r>
            <w:r>
              <w:rPr>
                <w:rFonts w:hint="eastAsia" w:ascii="宋体" w:hAnsi="宋体"/>
                <w:szCs w:val="21"/>
              </w:rPr>
              <w:t>月</w:t>
            </w:r>
            <w:r>
              <w:rPr>
                <w:rFonts w:ascii="宋体" w:hAnsi="宋体"/>
                <w:szCs w:val="21"/>
              </w:rPr>
              <w:t>16</w:t>
            </w:r>
            <w:r>
              <w:rPr>
                <w:rFonts w:hint="eastAsia" w:ascii="宋体" w:hAnsi="宋体"/>
                <w:szCs w:val="21"/>
              </w:rPr>
              <w:t>日（</w:t>
            </w:r>
            <w:r>
              <w:rPr>
                <w:rFonts w:ascii="宋体" w:hAnsi="宋体"/>
                <w:szCs w:val="21"/>
              </w:rPr>
              <w:t>12</w:t>
            </w:r>
            <w:r>
              <w:rPr>
                <w:rFonts w:hint="eastAsia" w:ascii="宋体" w:hAnsi="宋体"/>
                <w:szCs w:val="21"/>
              </w:rPr>
              <w:t>:00）至202</w:t>
            </w:r>
            <w:r>
              <w:rPr>
                <w:rFonts w:ascii="宋体" w:hAnsi="宋体"/>
                <w:szCs w:val="21"/>
              </w:rPr>
              <w:t>5</w:t>
            </w:r>
            <w:r>
              <w:rPr>
                <w:rFonts w:hint="eastAsia" w:ascii="宋体" w:hAnsi="宋体"/>
                <w:szCs w:val="21"/>
              </w:rPr>
              <w:t>年</w:t>
            </w:r>
            <w:r>
              <w:rPr>
                <w:rFonts w:ascii="宋体" w:hAnsi="宋体"/>
                <w:szCs w:val="21"/>
              </w:rPr>
              <w:t>7</w:t>
            </w:r>
            <w:r>
              <w:rPr>
                <w:rFonts w:hint="eastAsia" w:ascii="宋体" w:hAnsi="宋体"/>
                <w:szCs w:val="21"/>
              </w:rPr>
              <w:t>月</w:t>
            </w:r>
            <w:r>
              <w:rPr>
                <w:rFonts w:ascii="宋体" w:hAnsi="宋体"/>
                <w:szCs w:val="21"/>
              </w:rPr>
              <w:t>23</w:t>
            </w:r>
            <w:r>
              <w:rPr>
                <w:rFonts w:hint="eastAsia" w:ascii="宋体" w:hAnsi="宋体"/>
                <w:szCs w:val="21"/>
              </w:rPr>
              <w:t>日（17:30）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产品成立</w:t>
            </w:r>
          </w:p>
        </w:tc>
        <w:tc>
          <w:tcPr>
            <w:tcW w:w="6869" w:type="dxa"/>
            <w:vAlign w:val="center"/>
          </w:tcPr>
          <w:p>
            <w:pPr>
              <w:spacing w:line="360" w:lineRule="exact"/>
              <w:rPr>
                <w:rFonts w:ascii="宋体"/>
                <w:szCs w:val="21"/>
              </w:rPr>
            </w:pPr>
            <w:r>
              <w:rPr>
                <w:rFonts w:hint="eastAsia" w:ascii="宋体" w:hAnsi="宋体"/>
                <w:szCs w:val="21"/>
              </w:rPr>
              <w:t>慈溪农村商业银行有权结束募集并提前成立，产品提前成立时慈溪农村商业银行将发布公告并调整相关日期，产品最终规模以慈溪农村商业银行实际募集规模为准。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理财产品起始日</w:t>
            </w:r>
          </w:p>
        </w:tc>
        <w:tc>
          <w:tcPr>
            <w:tcW w:w="6869" w:type="dxa"/>
            <w:vAlign w:val="center"/>
          </w:tcPr>
          <w:p>
            <w:pPr>
              <w:autoSpaceDE w:val="0"/>
              <w:autoSpaceDN w:val="0"/>
              <w:spacing w:line="360" w:lineRule="exact"/>
              <w:rPr>
                <w:rFonts w:ascii="宋体"/>
                <w:b/>
                <w:szCs w:val="21"/>
              </w:rPr>
            </w:pPr>
            <w:r>
              <w:rPr>
                <w:rFonts w:hint="eastAsia" w:ascii="宋体" w:hAnsi="宋体"/>
                <w:b/>
                <w:szCs w:val="21"/>
              </w:rPr>
              <w:t>202</w:t>
            </w:r>
            <w:r>
              <w:rPr>
                <w:rFonts w:ascii="宋体" w:hAnsi="宋体"/>
                <w:b/>
                <w:szCs w:val="21"/>
              </w:rPr>
              <w:t>5</w:t>
            </w:r>
            <w:r>
              <w:rPr>
                <w:rFonts w:hint="eastAsia" w:ascii="宋体" w:hAnsi="宋体"/>
                <w:b/>
                <w:szCs w:val="21"/>
              </w:rPr>
              <w:t>年</w:t>
            </w:r>
            <w:r>
              <w:rPr>
                <w:rFonts w:ascii="宋体" w:hAnsi="宋体"/>
                <w:b/>
                <w:szCs w:val="21"/>
              </w:rPr>
              <w:t>7</w:t>
            </w:r>
            <w:r>
              <w:rPr>
                <w:rFonts w:hint="eastAsia" w:ascii="宋体" w:hAnsi="宋体"/>
                <w:b/>
                <w:szCs w:val="21"/>
              </w:rPr>
              <w:t>月</w:t>
            </w:r>
            <w:r>
              <w:rPr>
                <w:rFonts w:ascii="宋体" w:hAnsi="宋体"/>
                <w:b/>
                <w:szCs w:val="21"/>
              </w:rPr>
              <w:t>24</w:t>
            </w:r>
            <w:r>
              <w:rPr>
                <w:rFonts w:hint="eastAsia" w:ascii="宋体" w:hAnsi="宋体"/>
                <w:b/>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szCs w:val="21"/>
              </w:rPr>
            </w:pPr>
            <w:r>
              <w:rPr>
                <w:rFonts w:hint="eastAsia" w:ascii="宋体" w:hAnsi="宋体" w:cs="楷体_GB2312"/>
                <w:szCs w:val="21"/>
              </w:rPr>
              <w:t>理财产品到期日</w:t>
            </w:r>
          </w:p>
        </w:tc>
        <w:tc>
          <w:tcPr>
            <w:tcW w:w="6869" w:type="dxa"/>
            <w:vAlign w:val="center"/>
          </w:tcPr>
          <w:p>
            <w:pPr>
              <w:autoSpaceDE w:val="0"/>
              <w:autoSpaceDN w:val="0"/>
              <w:spacing w:line="360" w:lineRule="exact"/>
              <w:rPr>
                <w:rFonts w:ascii="宋体"/>
                <w:b/>
                <w:szCs w:val="21"/>
              </w:rPr>
            </w:pPr>
            <w:r>
              <w:rPr>
                <w:rFonts w:hint="eastAsia" w:ascii="宋体" w:hAnsi="宋体"/>
                <w:b/>
                <w:szCs w:val="21"/>
              </w:rPr>
              <w:t>202</w:t>
            </w:r>
            <w:r>
              <w:rPr>
                <w:rFonts w:ascii="宋体" w:hAnsi="宋体"/>
                <w:b/>
                <w:szCs w:val="21"/>
              </w:rPr>
              <w:t>6</w:t>
            </w:r>
            <w:r>
              <w:rPr>
                <w:rFonts w:hint="eastAsia" w:ascii="宋体" w:hAnsi="宋体"/>
                <w:b/>
                <w:szCs w:val="21"/>
              </w:rPr>
              <w:t>年</w:t>
            </w:r>
            <w:r>
              <w:rPr>
                <w:rFonts w:ascii="宋体" w:hAnsi="宋体"/>
                <w:b/>
                <w:szCs w:val="21"/>
              </w:rPr>
              <w:t>1</w:t>
            </w:r>
            <w:r>
              <w:rPr>
                <w:rFonts w:hint="eastAsia" w:ascii="宋体" w:hAnsi="宋体"/>
                <w:b/>
                <w:szCs w:val="21"/>
              </w:rPr>
              <w:t>月</w:t>
            </w:r>
            <w:r>
              <w:rPr>
                <w:rFonts w:ascii="宋体" w:hAnsi="宋体"/>
                <w:b/>
                <w:szCs w:val="21"/>
              </w:rPr>
              <w:t>21</w:t>
            </w:r>
            <w:r>
              <w:rPr>
                <w:rFonts w:hint="eastAsia" w:ascii="宋体" w:hAnsi="宋体"/>
                <w:b/>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szCs w:val="21"/>
              </w:rPr>
            </w:pPr>
            <w:r>
              <w:rPr>
                <w:rFonts w:hint="eastAsia" w:ascii="宋体" w:hAnsi="宋体"/>
                <w:szCs w:val="21"/>
              </w:rPr>
              <w:t>客户资金到账日</w:t>
            </w:r>
          </w:p>
        </w:tc>
        <w:tc>
          <w:tcPr>
            <w:tcW w:w="6869" w:type="dxa"/>
            <w:vAlign w:val="center"/>
          </w:tcPr>
          <w:p>
            <w:pPr>
              <w:autoSpaceDE w:val="0"/>
              <w:autoSpaceDN w:val="0"/>
              <w:spacing w:line="360" w:lineRule="exact"/>
              <w:rPr>
                <w:rFonts w:ascii="宋体"/>
                <w:szCs w:val="21"/>
              </w:rPr>
            </w:pPr>
            <w:r>
              <w:rPr>
                <w:rFonts w:hint="eastAsia" w:ascii="宋体" w:hAnsi="宋体"/>
                <w:szCs w:val="21"/>
              </w:rPr>
              <w:t>到期日后</w:t>
            </w:r>
            <w:r>
              <w:rPr>
                <w:rFonts w:ascii="宋体" w:hAnsi="宋体"/>
                <w:szCs w:val="21"/>
              </w:rPr>
              <w:t>3</w:t>
            </w:r>
            <w:r>
              <w:rPr>
                <w:rFonts w:hint="eastAsia" w:ascii="宋体" w:hAnsi="宋体"/>
                <w:szCs w:val="21"/>
              </w:rPr>
              <w:t>个工作日内或提前终止日后</w:t>
            </w:r>
            <w:r>
              <w:rPr>
                <w:rFonts w:ascii="宋体" w:hAnsi="宋体"/>
                <w:szCs w:val="21"/>
              </w:rPr>
              <w:t>3</w:t>
            </w:r>
            <w:r>
              <w:rPr>
                <w:rFonts w:hint="eastAsia" w:ascii="宋体" w:hAnsi="宋体"/>
                <w:szCs w:val="21"/>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认购起点金额</w:t>
            </w:r>
          </w:p>
        </w:tc>
        <w:tc>
          <w:tcPr>
            <w:tcW w:w="6869" w:type="dxa"/>
            <w:vAlign w:val="center"/>
          </w:tcPr>
          <w:p>
            <w:pPr>
              <w:autoSpaceDE w:val="0"/>
              <w:autoSpaceDN w:val="0"/>
              <w:spacing w:line="360" w:lineRule="exact"/>
              <w:rPr>
                <w:rFonts w:ascii="宋体"/>
                <w:szCs w:val="21"/>
              </w:rPr>
            </w:pPr>
            <w:r>
              <w:rPr>
                <w:rFonts w:hint="eastAsia" w:ascii="宋体" w:hAnsi="宋体"/>
                <w:szCs w:val="21"/>
              </w:rPr>
              <w:t>人民币1万元，以人民币</w:t>
            </w:r>
            <w:r>
              <w:rPr>
                <w:rFonts w:ascii="宋体" w:hAnsi="宋体"/>
                <w:szCs w:val="21"/>
              </w:rPr>
              <w:t>1</w:t>
            </w:r>
            <w:r>
              <w:rPr>
                <w:rFonts w:hint="eastAsia" w:ascii="宋体" w:hAnsi="宋体"/>
                <w:szCs w:val="21"/>
              </w:rPr>
              <w:t>万元的整数倍递增。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951" w:type="dxa"/>
            <w:vAlign w:val="center"/>
          </w:tcPr>
          <w:p>
            <w:pPr>
              <w:autoSpaceDE w:val="0"/>
              <w:autoSpaceDN w:val="0"/>
              <w:spacing w:line="360" w:lineRule="exact"/>
              <w:rPr>
                <w:rFonts w:ascii="宋体" w:hAnsi="宋体"/>
                <w:szCs w:val="21"/>
              </w:rPr>
            </w:pPr>
            <w:r>
              <w:rPr>
                <w:rFonts w:hint="eastAsia" w:ascii="宋体" w:hAnsi="宋体"/>
                <w:szCs w:val="21"/>
              </w:rPr>
              <w:t>业绩比较基准</w:t>
            </w:r>
          </w:p>
        </w:tc>
        <w:tc>
          <w:tcPr>
            <w:tcW w:w="6869" w:type="dxa"/>
            <w:vAlign w:val="center"/>
          </w:tcPr>
          <w:p>
            <w:pPr>
              <w:widowControl/>
              <w:spacing w:line="360" w:lineRule="exact"/>
              <w:jc w:val="left"/>
              <w:rPr>
                <w:rFonts w:ascii="宋体" w:hAnsi="宋体"/>
                <w:b/>
                <w:szCs w:val="21"/>
              </w:rPr>
            </w:pPr>
            <w:r>
              <w:rPr>
                <w:rFonts w:hint="eastAsia" w:ascii="宋体" w:hAnsi="宋体"/>
                <w:b/>
                <w:szCs w:val="21"/>
              </w:rPr>
              <w:t>本产品为净值型产品，其业绩表现将随市场波动，具有不确定性。</w:t>
            </w:r>
          </w:p>
          <w:p>
            <w:pPr>
              <w:widowControl/>
              <w:spacing w:line="360" w:lineRule="exact"/>
              <w:jc w:val="left"/>
              <w:rPr>
                <w:rFonts w:ascii="宋体" w:hAnsi="宋体"/>
                <w:b/>
                <w:szCs w:val="21"/>
              </w:rPr>
            </w:pPr>
            <w:r>
              <w:rPr>
                <w:rFonts w:hint="eastAsia" w:ascii="宋体" w:hAnsi="宋体"/>
                <w:b/>
                <w:szCs w:val="21"/>
              </w:rPr>
              <w:t>本产品业绩比较基准（年化）为</w:t>
            </w:r>
            <w:r>
              <w:rPr>
                <w:rFonts w:ascii="宋体" w:hAnsi="宋体"/>
                <w:b/>
                <w:szCs w:val="21"/>
              </w:rPr>
              <w:t>1.8</w:t>
            </w:r>
            <w:r>
              <w:rPr>
                <w:rFonts w:hint="eastAsia" w:ascii="宋体" w:hAnsi="宋体"/>
                <w:b/>
                <w:szCs w:val="21"/>
              </w:rPr>
              <w:t>%-</w:t>
            </w:r>
            <w:r>
              <w:rPr>
                <w:rFonts w:ascii="宋体" w:hAnsi="宋体"/>
                <w:b/>
                <w:szCs w:val="21"/>
              </w:rPr>
              <w:t>2.8</w:t>
            </w:r>
            <w:r>
              <w:rPr>
                <w:rFonts w:hint="eastAsia" w:ascii="宋体" w:hAnsi="宋体"/>
                <w:b/>
                <w:szCs w:val="21"/>
              </w:rPr>
              <w:t>%。</w:t>
            </w:r>
          </w:p>
          <w:p>
            <w:pPr>
              <w:widowControl/>
              <w:spacing w:line="360" w:lineRule="exact"/>
              <w:jc w:val="left"/>
              <w:rPr>
                <w:rFonts w:ascii="宋体" w:hAnsi="宋体" w:cs="宋体"/>
                <w:b/>
                <w:bCs/>
                <w:kern w:val="0"/>
                <w:szCs w:val="21"/>
              </w:rPr>
            </w:pPr>
            <w:r>
              <w:rPr>
                <w:rFonts w:hint="eastAsia" w:ascii="宋体" w:hAnsi="宋体" w:cs="宋体"/>
                <w:b/>
                <w:bCs/>
                <w:kern w:val="0"/>
                <w:szCs w:val="21"/>
              </w:rPr>
              <w:t>业绩比较基准是产品管理人基于产品性质、投资策略、过往经验等因素对产品设定的投资目标，仅作为管理人收取投资管理费和动态调整投资管理费的参照，不代表理财产品未来表现，不等于理财产品实际收益，不作为产品收益的业绩保证，投资须谨慎。</w:t>
            </w:r>
          </w:p>
          <w:p>
            <w:pPr>
              <w:widowControl/>
              <w:spacing w:line="360" w:lineRule="exact"/>
              <w:jc w:val="left"/>
              <w:rPr>
                <w:rFonts w:ascii="宋体" w:hAnsi="宋体" w:cs="宋体"/>
                <w:b/>
                <w:bCs/>
                <w:kern w:val="0"/>
                <w:szCs w:val="21"/>
              </w:rPr>
            </w:pPr>
            <w:r>
              <w:rPr>
                <w:rFonts w:ascii="宋体" w:hAnsi="宋体" w:cs="宋体"/>
                <w:kern w:val="0"/>
                <w:szCs w:val="21"/>
              </w:rPr>
              <w:t>本产品主要投资于固定收益类资产，挖掘固收市场投资机会，稳健开展投资，防控投资风险</w:t>
            </w:r>
            <w:r>
              <w:rPr>
                <w:rFonts w:hint="eastAsia" w:ascii="宋体" w:hAnsi="宋体" w:cs="宋体"/>
                <w:kern w:val="0"/>
                <w:szCs w:val="21"/>
              </w:rPr>
              <w:t>。</w:t>
            </w:r>
          </w:p>
          <w:p>
            <w:pPr>
              <w:widowControl/>
              <w:spacing w:line="360" w:lineRule="exact"/>
              <w:jc w:val="left"/>
              <w:rPr>
                <w:rFonts w:ascii="宋体" w:hAnsi="宋体"/>
                <w:szCs w:val="21"/>
              </w:rPr>
            </w:pPr>
            <w:r>
              <w:rPr>
                <w:rFonts w:hint="eastAsia" w:ascii="宋体" w:hAnsi="宋体" w:cs="宋体"/>
                <w:kern w:val="0"/>
                <w:szCs w:val="21"/>
              </w:rPr>
              <w:t>如果今后法律法规发生变化，或者有其他代表性更强、更科学客观的业绩比较基准适用于本产品时，经产品管理人和产品托管人协商一致后，本产品可以变更比较基准并及时公告</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exact"/>
              <w:rPr>
                <w:rFonts w:ascii="宋体" w:hAnsi="宋体" w:cs="楷体_GB2312"/>
                <w:szCs w:val="21"/>
              </w:rPr>
            </w:pPr>
            <w:r>
              <w:rPr>
                <w:rFonts w:hint="eastAsia" w:ascii="宋体" w:hAnsi="宋体" w:cs="楷体_GB2312"/>
                <w:szCs w:val="21"/>
              </w:rPr>
              <w:t>资金划转</w:t>
            </w:r>
          </w:p>
        </w:tc>
        <w:tc>
          <w:tcPr>
            <w:tcW w:w="6869" w:type="dxa"/>
            <w:vAlign w:val="center"/>
          </w:tcPr>
          <w:p>
            <w:pPr>
              <w:spacing w:line="360" w:lineRule="exact"/>
              <w:rPr>
                <w:rFonts w:ascii="宋体" w:hAnsi="宋体" w:cs="楷体_GB2312"/>
                <w:szCs w:val="21"/>
              </w:rPr>
            </w:pPr>
            <w:r>
              <w:rPr>
                <w:rFonts w:hint="eastAsia" w:ascii="宋体" w:hAnsi="宋体" w:cs="楷体_GB2312"/>
                <w:szCs w:val="21"/>
              </w:rPr>
              <w:t>客户签署或确认认购</w:t>
            </w:r>
            <w:r>
              <w:rPr>
                <w:rFonts w:ascii="宋体" w:hAnsi="宋体" w:cs="楷体_GB2312"/>
                <w:szCs w:val="21"/>
              </w:rPr>
              <w:t>/</w:t>
            </w:r>
            <w:r>
              <w:rPr>
                <w:rFonts w:hint="eastAsia" w:ascii="宋体" w:hAnsi="宋体" w:cs="楷体_GB2312"/>
                <w:szCs w:val="21"/>
              </w:rPr>
              <w:t>申购委托后，</w:t>
            </w:r>
            <w:r>
              <w:rPr>
                <w:rFonts w:hint="eastAsia" w:ascii="宋体" w:hAnsi="宋体"/>
                <w:szCs w:val="21"/>
              </w:rPr>
              <w:t>慈溪农村商业银行</w:t>
            </w:r>
            <w:r>
              <w:rPr>
                <w:rFonts w:hint="eastAsia" w:ascii="宋体" w:hAnsi="宋体" w:cs="楷体_GB2312"/>
                <w:szCs w:val="21"/>
              </w:rPr>
              <w:t>将依据约定在募集期后划转认购</w:t>
            </w:r>
            <w:r>
              <w:rPr>
                <w:rFonts w:ascii="宋体" w:hAnsi="宋体" w:cs="楷体_GB2312"/>
                <w:szCs w:val="21"/>
              </w:rPr>
              <w:t>/</w:t>
            </w:r>
            <w:r>
              <w:rPr>
                <w:rFonts w:hint="eastAsia" w:ascii="宋体" w:hAnsi="宋体" w:cs="楷体_GB2312"/>
                <w:szCs w:val="21"/>
              </w:rPr>
              <w:t>申购理财资金，</w:t>
            </w:r>
            <w:r>
              <w:rPr>
                <w:rFonts w:hint="eastAsia" w:ascii="宋体" w:hAnsi="宋体" w:cs="楷体_GB2312"/>
                <w:b/>
                <w:szCs w:val="21"/>
              </w:rPr>
              <w:t>若届时无法依据约定划转认购</w:t>
            </w:r>
            <w:r>
              <w:rPr>
                <w:rFonts w:ascii="宋体" w:hAnsi="宋体" w:cs="楷体_GB2312"/>
                <w:b/>
                <w:szCs w:val="21"/>
              </w:rPr>
              <w:t>/</w:t>
            </w:r>
            <w:r>
              <w:rPr>
                <w:rFonts w:hint="eastAsia" w:ascii="宋体" w:hAnsi="宋体" w:cs="楷体_GB2312"/>
                <w:b/>
                <w:szCs w:val="21"/>
              </w:rPr>
              <w:t>申购理财资金，视为客户自动放弃认购</w:t>
            </w:r>
            <w:r>
              <w:rPr>
                <w:rFonts w:ascii="宋体" w:hAnsi="宋体" w:cs="楷体_GB2312"/>
                <w:b/>
                <w:szCs w:val="21"/>
              </w:rPr>
              <w:t>/</w:t>
            </w:r>
            <w:r>
              <w:rPr>
                <w:rFonts w:hint="eastAsia" w:ascii="宋体" w:hAnsi="宋体" w:cs="楷体_GB2312"/>
                <w:b/>
                <w:szCs w:val="21"/>
              </w:rPr>
              <w:t>申购本期理财产品。划款时将不与客户再次进行确认</w:t>
            </w:r>
            <w:r>
              <w:rPr>
                <w:rFonts w:hint="eastAsia" w:ascii="宋体" w:hAnsi="宋体" w:cs="楷体_GB2312"/>
                <w:szCs w:val="21"/>
              </w:rPr>
              <w:t>。客户认购</w:t>
            </w:r>
            <w:r>
              <w:rPr>
                <w:rFonts w:ascii="宋体" w:hAnsi="宋体" w:cs="楷体_GB2312"/>
                <w:szCs w:val="21"/>
              </w:rPr>
              <w:t>/</w:t>
            </w:r>
            <w:r>
              <w:rPr>
                <w:rFonts w:hint="eastAsia" w:ascii="宋体" w:hAnsi="宋体" w:cs="楷体_GB2312"/>
                <w:szCs w:val="21"/>
              </w:rPr>
              <w:t>申购风险较高或单笔金额较大的理财产品时，也适用前述操作规则。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pStyle w:val="8"/>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Pr>
                <w:rFonts w:hint="eastAsia" w:cs="楷体_GB2312"/>
                <w:kern w:val="2"/>
                <w:sz w:val="21"/>
                <w:szCs w:val="21"/>
              </w:rPr>
              <w:t>认购份额</w:t>
            </w:r>
          </w:p>
        </w:tc>
        <w:tc>
          <w:tcPr>
            <w:tcW w:w="6869" w:type="dxa"/>
            <w:vAlign w:val="center"/>
          </w:tcPr>
          <w:p>
            <w:pPr>
              <w:pStyle w:val="8"/>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Pr>
                <w:rFonts w:hint="eastAsia" w:cs="楷体_GB2312"/>
                <w:kern w:val="2"/>
                <w:sz w:val="21"/>
                <w:szCs w:val="21"/>
              </w:rPr>
              <w:t>认购份额=认购金额/1元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销售银行</w:t>
            </w:r>
          </w:p>
        </w:tc>
        <w:tc>
          <w:tcPr>
            <w:tcW w:w="6869"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慈溪农村商业银行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投资管理人</w:t>
            </w:r>
          </w:p>
        </w:tc>
        <w:tc>
          <w:tcPr>
            <w:tcW w:w="6869"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慈溪农村商业银行。</w:t>
            </w:r>
            <w:r>
              <w:rPr>
                <w:rFonts w:hint="eastAsia" w:ascii="宋体" w:hAnsi="宋体"/>
                <w:szCs w:val="21"/>
              </w:rPr>
              <w:t>慈溪农村商业银行</w:t>
            </w:r>
            <w:r>
              <w:rPr>
                <w:rFonts w:hint="eastAsia" w:ascii="宋体" w:hAnsi="宋体" w:cs="楷体_GB2312"/>
                <w:szCs w:val="21"/>
              </w:rPr>
              <w:t>接受客户的委托和授权，按照本产品说明书约定的投资方向和方式，进行投资和资产管理。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理财资金托管银行</w:t>
            </w:r>
          </w:p>
        </w:tc>
        <w:tc>
          <w:tcPr>
            <w:tcW w:w="6869" w:type="dxa"/>
            <w:vAlign w:val="center"/>
          </w:tcPr>
          <w:p>
            <w:pPr>
              <w:autoSpaceDE w:val="0"/>
              <w:autoSpaceDN w:val="0"/>
              <w:spacing w:line="360" w:lineRule="exact"/>
              <w:rPr>
                <w:rFonts w:ascii="宋体" w:hAnsi="宋体" w:cs="楷体_GB2312"/>
                <w:szCs w:val="21"/>
              </w:rPr>
            </w:pPr>
            <w:r>
              <w:rPr>
                <w:rFonts w:hint="eastAsia" w:ascii="宋体" w:hAnsi="宋体" w:cs="楷体_GB2312"/>
                <w:bCs/>
                <w:szCs w:val="21"/>
              </w:rPr>
              <w:t>招商银行股份有限公司杭州分行。托管人负责履行安全保管理财产品资金及其所投资的资产，办理清算、交割事宜，与管理人对账，监督理财产品投资运作等职责。招商银行股份有限公司，1987年成立，具有证券投资基金托管资格，招商银行股份有限公司杭州分行为一级分行</w:t>
            </w:r>
            <w:r>
              <w:rPr>
                <w:rFonts w:hint="eastAsia" w:ascii="宋体" w:hAnsi="宋体" w:cs="楷体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spacing w:line="360" w:lineRule="exact"/>
              <w:jc w:val="center"/>
              <w:rPr>
                <w:rFonts w:ascii="宋体" w:hAnsi="宋体" w:cs="宋体"/>
                <w:kern w:val="0"/>
                <w:szCs w:val="21"/>
              </w:rPr>
            </w:pPr>
            <w:r>
              <w:rPr>
                <w:rFonts w:hint="eastAsia" w:ascii="宋体" w:hAnsi="宋体" w:cs="宋体"/>
                <w:kern w:val="0"/>
                <w:szCs w:val="21"/>
              </w:rPr>
              <w:t>估值外包服务机构</w:t>
            </w:r>
          </w:p>
        </w:tc>
        <w:tc>
          <w:tcPr>
            <w:tcW w:w="6869" w:type="dxa"/>
            <w:vAlign w:val="center"/>
          </w:tcPr>
          <w:p>
            <w:pPr>
              <w:widowControl/>
              <w:spacing w:line="360" w:lineRule="exact"/>
              <w:jc w:val="left"/>
              <w:rPr>
                <w:rFonts w:ascii="宋体" w:hAnsi="宋体" w:cs="宋体"/>
                <w:kern w:val="0"/>
                <w:szCs w:val="21"/>
              </w:rPr>
            </w:pPr>
            <w:r>
              <w:rPr>
                <w:rFonts w:hint="eastAsia" w:ascii="宋体" w:hAnsi="宋体" w:cs="楷体_GB2312"/>
                <w:bCs/>
                <w:szCs w:val="21"/>
              </w:rPr>
              <w:t>招商银行股份有限公司</w:t>
            </w:r>
            <w:r>
              <w:rPr>
                <w:rFonts w:hint="eastAsia" w:ascii="宋体" w:hAnsi="宋体" w:cs="宋体"/>
                <w:kern w:val="0"/>
                <w:szCs w:val="21"/>
              </w:rPr>
              <w:t>。</w:t>
            </w:r>
            <w:r>
              <w:rPr>
                <w:rFonts w:hint="eastAsia" w:ascii="宋体" w:hAnsi="宋体" w:cs="楷体_GB2312"/>
                <w:bCs/>
                <w:szCs w:val="21"/>
              </w:rPr>
              <w:t>招商银行股份有限公司</w:t>
            </w:r>
            <w:r>
              <w:rPr>
                <w:rFonts w:hint="eastAsia" w:ascii="宋体" w:hAnsi="宋体" w:cs="宋体"/>
                <w:kern w:val="0"/>
                <w:szCs w:val="21"/>
              </w:rPr>
              <w:t>担任理财产品的估值核算等业务</w:t>
            </w:r>
            <w:r>
              <w:rPr>
                <w:rFonts w:ascii="宋体" w:hAnsi="宋体" w:cs="宋体"/>
                <w:kern w:val="0"/>
                <w:szCs w:val="21"/>
              </w:rPr>
              <w:t>的</w:t>
            </w:r>
            <w:r>
              <w:rPr>
                <w:rFonts w:hint="eastAsia" w:ascii="宋体" w:hAnsi="宋体" w:cs="宋体"/>
                <w:kern w:val="0"/>
                <w:szCs w:val="21"/>
              </w:rPr>
              <w:t>外包服务机构。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spacing w:line="360" w:lineRule="exact"/>
              <w:jc w:val="left"/>
              <w:rPr>
                <w:rFonts w:ascii="宋体" w:hAnsi="宋体" w:cs="宋体"/>
                <w:kern w:val="0"/>
                <w:szCs w:val="21"/>
              </w:rPr>
            </w:pPr>
            <w:r>
              <w:rPr>
                <w:rFonts w:hint="eastAsia" w:ascii="宋体" w:hAnsi="宋体" w:cs="宋体"/>
                <w:kern w:val="0"/>
                <w:szCs w:val="21"/>
              </w:rPr>
              <w:t>提前终止权</w:t>
            </w:r>
          </w:p>
        </w:tc>
        <w:tc>
          <w:tcPr>
            <w:tcW w:w="6869" w:type="dxa"/>
            <w:vAlign w:val="center"/>
          </w:tcPr>
          <w:p>
            <w:pPr>
              <w:autoSpaceDE w:val="0"/>
              <w:autoSpaceDN w:val="0"/>
              <w:adjustRightInd w:val="0"/>
              <w:spacing w:line="360" w:lineRule="exact"/>
              <w:jc w:val="left"/>
              <w:rPr>
                <w:rFonts w:ascii="宋体" w:hAnsi="宋体" w:cs="宋体"/>
                <w:bCs/>
                <w:kern w:val="0"/>
                <w:szCs w:val="21"/>
              </w:rPr>
            </w:pPr>
            <w:r>
              <w:rPr>
                <w:rFonts w:hint="eastAsia" w:ascii="宋体" w:hAnsi="宋体" w:cs="宋体"/>
                <w:bCs/>
                <w:kern w:val="0"/>
                <w:szCs w:val="21"/>
              </w:rPr>
              <w:t>1.</w:t>
            </w:r>
            <w:r>
              <w:rPr>
                <w:rFonts w:hint="eastAsia" w:ascii="宋体" w:hAnsi="宋体" w:cs="宋体"/>
                <w:b/>
                <w:bCs/>
                <w:kern w:val="0"/>
                <w:szCs w:val="21"/>
              </w:rPr>
              <w:t>投资者无权提前终止本理财产品</w:t>
            </w:r>
            <w:r>
              <w:rPr>
                <w:rFonts w:hint="eastAsia" w:ascii="宋体" w:hAnsi="宋体" w:cs="宋体"/>
                <w:bCs/>
                <w:kern w:val="0"/>
                <w:szCs w:val="21"/>
              </w:rPr>
              <w:t>。</w:t>
            </w:r>
          </w:p>
          <w:p>
            <w:pPr>
              <w:autoSpaceDE w:val="0"/>
              <w:autoSpaceDN w:val="0"/>
              <w:adjustRightInd w:val="0"/>
              <w:spacing w:line="360" w:lineRule="exact"/>
              <w:jc w:val="left"/>
              <w:rPr>
                <w:rFonts w:ascii="宋体" w:hAnsi="宋体" w:cs="宋体"/>
                <w:szCs w:val="21"/>
              </w:rPr>
            </w:pPr>
            <w:r>
              <w:rPr>
                <w:rFonts w:hint="eastAsia" w:ascii="宋体" w:hAnsi="宋体" w:cs="宋体"/>
                <w:kern w:val="0"/>
                <w:szCs w:val="21"/>
              </w:rPr>
              <w:t>2.如发生慈溪农村商业银行认为需要提前终止本理财产品的情况，</w:t>
            </w:r>
            <w:r>
              <w:rPr>
                <w:rFonts w:hint="eastAsia" w:ascii="宋体" w:hAnsi="宋体" w:cs="宋体"/>
                <w:b/>
                <w:kern w:val="0"/>
                <w:szCs w:val="21"/>
              </w:rPr>
              <w:t>慈溪农村商业银行有权提前终止本理财产品</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951" w:type="dxa"/>
            <w:vAlign w:val="center"/>
          </w:tcPr>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主要风险提示</w:t>
            </w:r>
          </w:p>
        </w:tc>
        <w:tc>
          <w:tcPr>
            <w:tcW w:w="6869" w:type="dxa"/>
            <w:vAlign w:val="center"/>
          </w:tcPr>
          <w:p>
            <w:pPr>
              <w:widowControl/>
              <w:spacing w:line="360" w:lineRule="exact"/>
              <w:jc w:val="left"/>
              <w:rPr>
                <w:rFonts w:ascii="宋体" w:hAnsi="宋体" w:cs="宋体"/>
                <w:b/>
                <w:kern w:val="0"/>
                <w:szCs w:val="21"/>
              </w:rPr>
            </w:pPr>
            <w:r>
              <w:rPr>
                <w:rFonts w:hint="eastAsia" w:ascii="宋体" w:hAnsi="宋体" w:cs="宋体"/>
                <w:b/>
                <w:kern w:val="0"/>
                <w:szCs w:val="21"/>
              </w:rPr>
              <w:t>本理财产品有风险，详见风险揭示书。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spacing w:line="360" w:lineRule="exact"/>
              <w:jc w:val="left"/>
              <w:rPr>
                <w:rFonts w:ascii="宋体" w:hAnsi="宋体" w:cs="宋体"/>
                <w:kern w:val="0"/>
                <w:szCs w:val="21"/>
              </w:rPr>
            </w:pPr>
            <w:r>
              <w:rPr>
                <w:rFonts w:hint="eastAsia" w:ascii="宋体" w:hAnsi="宋体" w:cs="宋体"/>
                <w:kern w:val="0"/>
                <w:szCs w:val="21"/>
              </w:rPr>
              <w:t>销售渠道</w:t>
            </w:r>
          </w:p>
        </w:tc>
        <w:tc>
          <w:tcPr>
            <w:tcW w:w="6869" w:type="dxa"/>
            <w:vAlign w:val="center"/>
          </w:tcPr>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营业网点柜面、</w:t>
            </w:r>
            <w:r>
              <w:rPr>
                <w:rFonts w:hint="eastAsia" w:ascii="宋体" w:hAnsi="宋体"/>
                <w:szCs w:val="21"/>
              </w:rPr>
              <w:t>电子渠道</w:t>
            </w:r>
            <w:r>
              <w:rPr>
                <w:rFonts w:hint="eastAsia" w:ascii="宋体" w:hAnsi="宋体" w:cs="宋体"/>
                <w:kern w:val="0"/>
                <w:szCs w:val="21"/>
              </w:rPr>
              <w:t>等（如遇调整以慈溪农村商业银行公告为准）。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exact"/>
              <w:rPr>
                <w:rFonts w:ascii="宋体"/>
                <w:szCs w:val="21"/>
              </w:rPr>
            </w:pPr>
            <w:r>
              <w:rPr>
                <w:rFonts w:hint="eastAsia" w:ascii="宋体" w:hAnsi="宋体"/>
                <w:szCs w:val="21"/>
              </w:rPr>
              <w:t>其他规定</w:t>
            </w:r>
          </w:p>
        </w:tc>
        <w:tc>
          <w:tcPr>
            <w:tcW w:w="6869" w:type="dxa"/>
            <w:vAlign w:val="center"/>
          </w:tcPr>
          <w:p>
            <w:pPr>
              <w:spacing w:line="360" w:lineRule="exact"/>
              <w:rPr>
                <w:rFonts w:ascii="宋体" w:hAnsi="宋体"/>
                <w:szCs w:val="21"/>
              </w:rPr>
            </w:pPr>
            <w:r>
              <w:rPr>
                <w:rFonts w:hint="eastAsia" w:ascii="宋体" w:hAnsi="宋体"/>
                <w:szCs w:val="21"/>
              </w:rPr>
              <w:t>到期日（或提前终止日）至到账日之间客户资金不计收益，募集期内按照活期利息计息，募集期内的利息不计入认购本金份额。理财资金在到期</w:t>
            </w:r>
            <w:r>
              <w:rPr>
                <w:rFonts w:ascii="宋体" w:hAnsi="宋体"/>
                <w:szCs w:val="21"/>
              </w:rPr>
              <w:t>/</w:t>
            </w:r>
            <w:r>
              <w:rPr>
                <w:rFonts w:hint="eastAsia" w:ascii="宋体" w:hAnsi="宋体"/>
                <w:szCs w:val="21"/>
              </w:rPr>
              <w:t>实际终止时，一次兑付。</w:t>
            </w:r>
          </w:p>
          <w:p>
            <w:pPr>
              <w:spacing w:line="360" w:lineRule="exact"/>
              <w:rPr>
                <w:rFonts w:ascii="宋体" w:hAnsi="宋体"/>
                <w:b/>
                <w:szCs w:val="21"/>
              </w:rPr>
            </w:pPr>
            <w:r>
              <w:rPr>
                <w:rFonts w:hint="eastAsia" w:ascii="宋体" w:hAnsi="宋体"/>
                <w:b/>
                <w:szCs w:val="21"/>
              </w:rPr>
              <w:t>本理财产品可能会投资于资产管理产品，在赎回资产管理产品时，资产管理产品可能会计提业绩报酬，上述费用的计提时将会扣减资产管理产品的资产净值，从而造成赎回资管产品时可获得收益下降。</w:t>
            </w:r>
          </w:p>
        </w:tc>
      </w:tr>
    </w:tbl>
    <w:p>
      <w:pPr>
        <w:spacing w:line="360" w:lineRule="exact"/>
        <w:ind w:firstLine="420" w:firstLineChars="200"/>
        <w:rPr>
          <w:rFonts w:ascii="宋体" w:hAnsi="宋体" w:cs="宋体"/>
          <w:bCs/>
          <w:iCs/>
          <w:color w:val="000000"/>
          <w:kern w:val="0"/>
          <w:szCs w:val="21"/>
        </w:rPr>
      </w:pPr>
      <w:r>
        <w:rPr>
          <w:rFonts w:hint="eastAsia" w:ascii="宋体" w:hAnsi="宋体" w:cs="楷体_GB2312,Bold"/>
          <w:bCs/>
          <w:szCs w:val="21"/>
        </w:rPr>
        <w:t>三、</w:t>
      </w:r>
      <w:r>
        <w:rPr>
          <w:rFonts w:hint="eastAsia" w:ascii="宋体" w:hAnsi="宋体"/>
          <w:szCs w:val="21"/>
        </w:rPr>
        <w:t>理</w:t>
      </w:r>
      <w:r>
        <w:rPr>
          <w:rFonts w:hint="eastAsia" w:ascii="宋体" w:hAnsi="宋体" w:cs="宋体"/>
          <w:bCs/>
          <w:iCs/>
          <w:color w:val="000000"/>
          <w:kern w:val="0"/>
          <w:szCs w:val="21"/>
        </w:rPr>
        <w:t>财产品费用、收益分析与计算</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（一）投资范围及投资管理</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1.本产品主要投资范围包括但不限于：</w:t>
      </w:r>
      <w:r>
        <w:rPr>
          <w:rFonts w:ascii="宋体" w:hAnsi="宋体" w:cs="宋体"/>
          <w:bCs/>
          <w:iCs/>
          <w:color w:val="000000"/>
          <w:kern w:val="0"/>
          <w:szCs w:val="21"/>
        </w:rPr>
        <w:t>（1）</w:t>
      </w:r>
      <w:r>
        <w:rPr>
          <w:rFonts w:hint="eastAsia" w:ascii="宋体" w:hAnsi="宋体" w:cs="宋体"/>
          <w:bCs/>
          <w:iCs/>
          <w:color w:val="000000"/>
          <w:kern w:val="0"/>
          <w:szCs w:val="21"/>
        </w:rPr>
        <w:t>现金、银行存款、同业存单、债券回购、货币市场型基金等货币市场工具及其它银行间资金融通工具；（</w:t>
      </w:r>
      <w:r>
        <w:rPr>
          <w:rFonts w:ascii="宋体" w:hAnsi="宋体" w:cs="宋体"/>
          <w:bCs/>
          <w:iCs/>
          <w:color w:val="000000"/>
          <w:kern w:val="0"/>
          <w:szCs w:val="21"/>
        </w:rPr>
        <w:t>2）短期融资券、超短期融资券、中期票据、企业债、公司债等银行间、交易所市场债券</w:t>
      </w:r>
      <w:r>
        <w:rPr>
          <w:rFonts w:hint="eastAsia" w:ascii="宋体" w:hAnsi="宋体" w:cs="宋体"/>
          <w:bCs/>
          <w:iCs/>
          <w:color w:val="000000"/>
          <w:kern w:val="0"/>
          <w:szCs w:val="21"/>
        </w:rPr>
        <w:t>、债务融资工具、债券型公募基金及其它固定收益类投资工具；（</w:t>
      </w:r>
      <w:r>
        <w:rPr>
          <w:rFonts w:ascii="宋体" w:hAnsi="宋体" w:cs="宋体"/>
          <w:bCs/>
          <w:iCs/>
          <w:color w:val="000000"/>
          <w:kern w:val="0"/>
          <w:szCs w:val="21"/>
        </w:rPr>
        <w:t>3）符合监管要求的债权类资产及其他符合监管要求的资产及以上述资产为投资标的资产管理产品</w:t>
      </w:r>
      <w:r>
        <w:rPr>
          <w:rFonts w:hint="eastAsia" w:ascii="宋体" w:hAnsi="宋体" w:cs="宋体"/>
          <w:bCs/>
          <w:iCs/>
          <w:color w:val="000000"/>
          <w:kern w:val="0"/>
          <w:szCs w:val="21"/>
        </w:rPr>
        <w:t>。</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2.各投资资产种类的投资比例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453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资产类别</w:t>
            </w:r>
          </w:p>
        </w:tc>
        <w:tc>
          <w:tcPr>
            <w:tcW w:w="4536"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资产种类</w:t>
            </w:r>
          </w:p>
        </w:tc>
        <w:tc>
          <w:tcPr>
            <w:tcW w:w="1843" w:type="dxa"/>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固定收益类</w:t>
            </w: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货币市场工具类</w:t>
            </w:r>
          </w:p>
        </w:tc>
        <w:tc>
          <w:tcPr>
            <w:tcW w:w="1843" w:type="dxa"/>
            <w:vMerge w:val="restart"/>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autoSpaceDE w:val="0"/>
              <w:autoSpaceDN w:val="0"/>
              <w:spacing w:line="360" w:lineRule="exact"/>
              <w:jc w:val="left"/>
              <w:rPr>
                <w:rFonts w:ascii="宋体" w:hAnsi="宋体" w:cs="宋体"/>
                <w:bCs/>
                <w:iCs/>
                <w:color w:val="000000"/>
                <w:szCs w:val="21"/>
              </w:rPr>
            </w:pP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债券类</w:t>
            </w:r>
          </w:p>
        </w:tc>
        <w:tc>
          <w:tcPr>
            <w:tcW w:w="1843" w:type="dxa"/>
            <w:vMerge w:val="continue"/>
          </w:tcPr>
          <w:p>
            <w:pPr>
              <w:autoSpaceDE w:val="0"/>
              <w:autoSpaceDN w:val="0"/>
              <w:spacing w:line="360" w:lineRule="exact"/>
              <w:jc w:val="center"/>
              <w:rPr>
                <w:rFonts w:ascii="宋体" w:hAnsi="宋体" w:cs="宋体"/>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autoSpaceDE w:val="0"/>
              <w:autoSpaceDN w:val="0"/>
              <w:spacing w:line="360" w:lineRule="exact"/>
              <w:jc w:val="left"/>
              <w:rPr>
                <w:rFonts w:ascii="宋体" w:hAnsi="宋体" w:cs="宋体"/>
                <w:bCs/>
                <w:iCs/>
                <w:color w:val="000000"/>
                <w:szCs w:val="21"/>
              </w:rPr>
            </w:pP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其他符合监管要求的债权类资产</w:t>
            </w:r>
          </w:p>
        </w:tc>
        <w:tc>
          <w:tcPr>
            <w:tcW w:w="1843" w:type="dxa"/>
            <w:vMerge w:val="continue"/>
          </w:tcPr>
          <w:p>
            <w:pPr>
              <w:autoSpaceDE w:val="0"/>
              <w:autoSpaceDN w:val="0"/>
              <w:spacing w:line="360" w:lineRule="exact"/>
              <w:jc w:val="center"/>
              <w:rPr>
                <w:rFonts w:ascii="宋体" w:hAnsi="宋体" w:cs="宋体"/>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其他</w:t>
            </w: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符合监管要求的其他资产</w:t>
            </w:r>
          </w:p>
        </w:tc>
        <w:tc>
          <w:tcPr>
            <w:tcW w:w="1843"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0%-20%</w:t>
            </w:r>
          </w:p>
        </w:tc>
      </w:tr>
    </w:tbl>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本理财产品的杠杆水平不超过20</w:t>
      </w:r>
      <w:r>
        <w:rPr>
          <w:rFonts w:ascii="宋体" w:hAnsi="宋体" w:cs="宋体"/>
          <w:bCs/>
          <w:iCs/>
          <w:color w:val="000000"/>
          <w:kern w:val="0"/>
          <w:szCs w:val="21"/>
        </w:rPr>
        <w:t>0%</w:t>
      </w:r>
      <w:r>
        <w:rPr>
          <w:rFonts w:hint="eastAsia" w:ascii="宋体" w:hAnsi="宋体" w:cs="宋体"/>
          <w:bCs/>
          <w:iCs/>
          <w:color w:val="000000"/>
          <w:kern w:val="0"/>
          <w:szCs w:val="21"/>
        </w:rPr>
        <w:t>。</w:t>
      </w:r>
    </w:p>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3.特别提示：</w:t>
      </w:r>
      <w:r>
        <w:rPr>
          <w:rFonts w:hint="eastAsia" w:ascii="宋体" w:hAnsi="宋体"/>
          <w:szCs w:val="21"/>
        </w:rPr>
        <w:t>慈溪农村商业银行</w:t>
      </w:r>
      <w:r>
        <w:rPr>
          <w:rFonts w:hint="eastAsia" w:ascii="宋体" w:hAnsi="宋体" w:cs="宋体"/>
          <w:bCs/>
          <w:iCs/>
          <w:color w:val="000000"/>
          <w:kern w:val="0"/>
          <w:szCs w:val="21"/>
        </w:rPr>
        <w:t>将本着诚实信用、谨慎勤勉的原则，在规定的范围内运用理财资金进行投资，投资比例可在不影响客户权益、产品风险评级的前提下合理浮动。因市场变化和投资周期理财资金大幅变化等情况可能在短期内使投资比例突破上述投资比例配置限制，此时这种情况不视为违反投资比例的规定，但为保护投资者利益，慈溪农村商业银行将在合理期限内进行调整，使之符合投资配置策略要求。</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4.对以上理财投资标准、投资对象与投资比例，</w:t>
      </w:r>
      <w:r>
        <w:rPr>
          <w:rFonts w:hint="eastAsia" w:ascii="宋体" w:hAnsi="宋体"/>
          <w:szCs w:val="21"/>
        </w:rPr>
        <w:t>慈溪农村商业银行</w:t>
      </w:r>
      <w:r>
        <w:rPr>
          <w:rFonts w:hint="eastAsia" w:ascii="宋体" w:hAnsi="宋体" w:cs="宋体"/>
          <w:bCs/>
          <w:iCs/>
          <w:color w:val="000000"/>
          <w:kern w:val="0"/>
          <w:szCs w:val="21"/>
        </w:rPr>
        <w:t>保留变更的权利，如发生变更，相关内容以</w:t>
      </w:r>
      <w:r>
        <w:rPr>
          <w:rFonts w:hint="eastAsia" w:ascii="宋体" w:hAnsi="宋体"/>
          <w:szCs w:val="21"/>
        </w:rPr>
        <w:t>慈溪农村商业银行</w:t>
      </w:r>
      <w:r>
        <w:rPr>
          <w:rFonts w:hint="eastAsia" w:ascii="宋体" w:hAnsi="宋体" w:cs="宋体"/>
          <w:bCs/>
          <w:iCs/>
          <w:color w:val="000000"/>
          <w:kern w:val="0"/>
          <w:szCs w:val="21"/>
        </w:rPr>
        <w:t>通过各营业网点或</w:t>
      </w:r>
      <w:r>
        <w:rPr>
          <w:rFonts w:hint="eastAsia" w:ascii="宋体" w:hAnsi="宋体"/>
          <w:szCs w:val="21"/>
        </w:rPr>
        <w:t>慈溪农村商业银行</w:t>
      </w:r>
      <w:r>
        <w:rPr>
          <w:rFonts w:hint="eastAsia" w:ascii="宋体" w:hAnsi="宋体" w:cs="宋体"/>
          <w:bCs/>
          <w:iCs/>
          <w:color w:val="000000"/>
          <w:kern w:val="0"/>
          <w:szCs w:val="21"/>
        </w:rPr>
        <w:t>网站发布的变更公告中所载明的内容为准。</w:t>
      </w:r>
      <w:r>
        <w:rPr>
          <w:rFonts w:hint="eastAsia" w:ascii="宋体" w:hAnsi="宋体"/>
          <w:szCs w:val="21"/>
        </w:rPr>
        <w:t>慈溪农村商业银行</w:t>
      </w:r>
      <w:r>
        <w:rPr>
          <w:rFonts w:hint="eastAsia" w:ascii="宋体" w:hAnsi="宋体" w:cs="宋体"/>
          <w:bCs/>
          <w:iCs/>
          <w:color w:val="000000"/>
          <w:kern w:val="0"/>
          <w:szCs w:val="21"/>
        </w:rPr>
        <w:t>将至少提前一个工作日通过其各营业网点或</w:t>
      </w:r>
      <w:r>
        <w:rPr>
          <w:rFonts w:hint="eastAsia" w:ascii="宋体" w:hAnsi="宋体"/>
          <w:szCs w:val="21"/>
        </w:rPr>
        <w:t>慈溪农村商业银行</w:t>
      </w:r>
      <w:r>
        <w:rPr>
          <w:rFonts w:hint="eastAsia" w:ascii="宋体" w:hAnsi="宋体" w:cs="宋体"/>
          <w:bCs/>
          <w:iCs/>
          <w:color w:val="000000"/>
          <w:kern w:val="0"/>
          <w:szCs w:val="21"/>
        </w:rPr>
        <w:t>网站发布变更公告。</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5.</w:t>
      </w:r>
      <w:r>
        <w:rPr>
          <w:rFonts w:hint="eastAsia" w:ascii="宋体" w:hAnsi="宋体"/>
          <w:szCs w:val="21"/>
        </w:rPr>
        <w:t>慈溪农村商业银行</w:t>
      </w:r>
      <w:r>
        <w:rPr>
          <w:rFonts w:hint="eastAsia" w:ascii="宋体" w:hAnsi="宋体" w:cs="宋体"/>
          <w:bCs/>
          <w:iCs/>
          <w:color w:val="000000"/>
          <w:kern w:val="0"/>
          <w:szCs w:val="21"/>
        </w:rPr>
        <w:t>按照法律法规、产品说明书及其他相关约定，诚实信用、谨慎勤勉地实施投资管理行为，以专业技能管理理财产品资产，依法维护理财产品全体投资者的利益。</w:t>
      </w:r>
      <w:r>
        <w:rPr>
          <w:rFonts w:hint="eastAsia" w:ascii="宋体" w:hAnsi="宋体" w:cs="宋体"/>
          <w:b/>
          <w:bCs/>
          <w:iCs/>
          <w:color w:val="000000"/>
          <w:kern w:val="0"/>
          <w:szCs w:val="21"/>
        </w:rPr>
        <w:t>慈溪农村商业银行不对本理财产品的收益情况作出承诺或保证，亦不会承诺或保证最低收益或本金安全。</w:t>
      </w:r>
      <w:r>
        <w:rPr>
          <w:rFonts w:hint="eastAsia" w:ascii="宋体" w:hAnsi="宋体" w:cs="宋体"/>
          <w:bCs/>
          <w:iCs/>
          <w:color w:val="000000"/>
          <w:kern w:val="0"/>
          <w:szCs w:val="21"/>
        </w:rPr>
        <w:t>慈溪农村商业银行按照本产品说明书及其他相关规定进行投资运作，由此所产生的损失，慈溪农村商业银行不承担赔偿责任。</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6. 本产品投资资产管理产品的发行机构包括但不限于</w:t>
      </w:r>
      <w:bookmarkStart w:id="1" w:name="OLE_LINK2"/>
      <w:r>
        <w:rPr>
          <w:rFonts w:hint="eastAsia" w:ascii="宋体" w:hAnsi="宋体" w:cs="宋体"/>
          <w:bCs/>
          <w:iCs/>
          <w:color w:val="000000"/>
          <w:kern w:val="0"/>
          <w:szCs w:val="21"/>
        </w:rPr>
        <w:t>中信证券资产管理有限公司</w:t>
      </w:r>
      <w:bookmarkEnd w:id="1"/>
      <w:r>
        <w:rPr>
          <w:rFonts w:hint="eastAsia" w:ascii="宋体" w:hAnsi="宋体" w:cs="宋体"/>
          <w:bCs/>
          <w:iCs/>
          <w:color w:val="000000"/>
          <w:kern w:val="0"/>
          <w:szCs w:val="21"/>
        </w:rPr>
        <w:t>。中信证券资产管理有限公司是中信证券股份有限公司的</w:t>
      </w:r>
      <w:r>
        <w:rPr>
          <w:rFonts w:ascii="宋体" w:hAnsi="宋体" w:cs="宋体"/>
          <w:bCs/>
          <w:iCs/>
          <w:color w:val="000000"/>
          <w:kern w:val="0"/>
          <w:szCs w:val="21"/>
        </w:rPr>
        <w:t>全资子公司</w:t>
      </w:r>
      <w:r>
        <w:rPr>
          <w:rFonts w:hint="eastAsia" w:ascii="宋体" w:hAnsi="宋体" w:cs="宋体"/>
          <w:bCs/>
          <w:iCs/>
          <w:color w:val="000000"/>
          <w:kern w:val="0"/>
          <w:szCs w:val="21"/>
        </w:rPr>
        <w:t>，具有证券资产管理等资格，中信证券股份有限公司自</w:t>
      </w:r>
      <w:r>
        <w:rPr>
          <w:rFonts w:ascii="宋体" w:hAnsi="宋体" w:cs="宋体"/>
          <w:bCs/>
          <w:iCs/>
          <w:color w:val="000000"/>
          <w:kern w:val="0"/>
          <w:szCs w:val="21"/>
        </w:rPr>
        <w:t>1998年开始资产管理业务</w:t>
      </w:r>
      <w:r>
        <w:rPr>
          <w:rFonts w:hint="eastAsia" w:ascii="宋体" w:hAnsi="宋体" w:cs="宋体"/>
          <w:bCs/>
          <w:iCs/>
          <w:color w:val="000000"/>
          <w:kern w:val="0"/>
          <w:szCs w:val="21"/>
        </w:rPr>
        <w:t>。</w:t>
      </w:r>
    </w:p>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（二）产品估值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1.估值目的</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理财资产估值的目的是客观、准确地反映理财资产是否保值、增值。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2.估值日</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的估值日为本产品相关的银行间市场的交易日以及需要对外披露理财净值的非交易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3.估值对象</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本产品所拥有的各类证券和银行存款本息、应收款项、其它投资等资产及负债。</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4.估值方法</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本产品按以下方式进行估值：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（1）固定收益类资产估值：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产品持有的固定收益类资产原则上按公允价值计量。</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各类资产优先采用市价法进行估值，对于暂不具备活跃交易市场，或者在活跃市场中没有报价的资产，采用估值技术确定公允价值。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在估值技术难以可靠计量公允价值的情况下，可按照监管机构认可的符合企业会计准则的其他方法进行估值。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本产品投资于基金公司或子公司专户、券商资产管理计划、保险资产管理计划及信托计划等资产以估值日公布的产品单位净值进行估值，估值日产品单位净值未公布的，以最近一个工作日产品单位净值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（3）基金估值方法</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上市流通的证券投资基金按估值日其所在证券交易所的收盘价估值；估值日无交易的，以最近交易日的收盘价估值。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开放式基金以估值日公布的基金净值估值，估值日基金净值未公布的，以基金管理人公布的最近一个工作日基金净值计算。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5.其他资产存在并可以确定公允价值的，以公允价值计算，公允价值不能确定的按取得时的成本按摊余成本法计算。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6.如有确凿证据表明按上述方法进行计价不能客观反映其公允价值的，</w:t>
      </w:r>
      <w:r>
        <w:rPr>
          <w:rFonts w:hint="eastAsia" w:ascii="宋体" w:hAnsi="宋体" w:cs="楷体_GB2312"/>
          <w:szCs w:val="21"/>
        </w:rPr>
        <w:t>宁波慈溪农村商业银行股份有限公司</w:t>
      </w:r>
      <w:r>
        <w:rPr>
          <w:rFonts w:hint="eastAsia" w:ascii="宋体" w:hAnsi="宋体" w:cs="宋体"/>
          <w:bCs/>
          <w:iCs/>
          <w:color w:val="000000"/>
          <w:kern w:val="0"/>
          <w:szCs w:val="21"/>
        </w:rPr>
        <w:t>有权按照最能反映其公允价值的方法计价。</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7.相关法律法规以及监管部门有强制规定的，从其规定。如有新增事项，按国家最新规定估值。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8.如估值方法发生变更，</w:t>
      </w:r>
      <w:r>
        <w:rPr>
          <w:rFonts w:hint="eastAsia" w:ascii="宋体" w:hAnsi="宋体" w:cs="楷体_GB2312"/>
          <w:szCs w:val="21"/>
        </w:rPr>
        <w:t>宁波慈溪农村商业银行股份有限公司</w:t>
      </w:r>
      <w:r>
        <w:rPr>
          <w:rFonts w:hint="eastAsia" w:ascii="宋体" w:hAnsi="宋体" w:cs="宋体"/>
          <w:bCs/>
          <w:iCs/>
          <w:color w:val="000000"/>
          <w:kern w:val="0"/>
          <w:szCs w:val="21"/>
        </w:rPr>
        <w:t>将至少提前一个工作日通过其各营业网点或</w:t>
      </w:r>
      <w:r>
        <w:rPr>
          <w:rFonts w:hint="eastAsia" w:ascii="宋体" w:hAnsi="宋体" w:cs="楷体_GB2312"/>
          <w:szCs w:val="21"/>
        </w:rPr>
        <w:t>宁波慈溪农村商业银行股份有限公司</w:t>
      </w:r>
      <w:r>
        <w:rPr>
          <w:rFonts w:hint="eastAsia" w:ascii="宋体" w:hAnsi="宋体" w:cs="宋体"/>
          <w:bCs/>
          <w:iCs/>
          <w:color w:val="000000"/>
          <w:kern w:val="0"/>
          <w:szCs w:val="21"/>
        </w:rPr>
        <w:t>网站发布变更公告。</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（三）理财产品单位份额净值的计算</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理财产品单位份额净值=理财产品净值/理财产品份额。</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pPr>
        <w:autoSpaceDE w:val="0"/>
        <w:autoSpaceDN w:val="0"/>
        <w:snapToGrid w:val="0"/>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客户到期日（或提前到期日）本金和收益=客户到期日（或提前到期日）持有产品份额×到期日（或提前到期日）产品单位份额净值。</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（四）理财资金所承担的相关费用</w:t>
      </w:r>
    </w:p>
    <w:p>
      <w:pPr>
        <w:autoSpaceDE w:val="0"/>
        <w:autoSpaceDN w:val="0"/>
        <w:adjustRightInd w:val="0"/>
        <w:spacing w:line="360" w:lineRule="exact"/>
        <w:ind w:firstLine="420" w:firstLineChars="200"/>
        <w:jc w:val="left"/>
        <w:rPr>
          <w:rFonts w:ascii="宋体" w:hAnsi="宋体" w:cs="宋体"/>
          <w:kern w:val="0"/>
          <w:szCs w:val="21"/>
        </w:rPr>
      </w:pPr>
      <w:r>
        <w:rPr>
          <w:rFonts w:ascii="宋体" w:hAnsi="宋体" w:cs="宋体"/>
          <w:bCs/>
          <w:iCs/>
          <w:color w:val="000000"/>
          <w:kern w:val="0"/>
          <w:szCs w:val="21"/>
        </w:rPr>
        <w:t>1</w:t>
      </w:r>
      <w:r>
        <w:rPr>
          <w:rFonts w:hint="eastAsia" w:ascii="宋体" w:hAnsi="宋体" w:cs="宋体"/>
          <w:bCs/>
          <w:iCs/>
          <w:color w:val="000000"/>
          <w:kern w:val="0"/>
          <w:szCs w:val="21"/>
        </w:rPr>
        <w:t>.</w:t>
      </w:r>
      <w:r>
        <w:rPr>
          <w:rFonts w:hint="eastAsia" w:ascii="宋体" w:hAnsi="宋体" w:cs="宋体"/>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照应税行为发生时有效的相关法律法规的规定执行。</w:t>
      </w:r>
    </w:p>
    <w:p>
      <w:pPr>
        <w:spacing w:line="360" w:lineRule="exact"/>
        <w:ind w:firstLine="420" w:firstLineChars="200"/>
        <w:rPr>
          <w:rFonts w:ascii="宋体" w:hAnsi="宋体" w:cs="宋体"/>
          <w:bCs/>
          <w:iCs/>
          <w:color w:val="000000"/>
          <w:kern w:val="0"/>
          <w:szCs w:val="21"/>
        </w:rPr>
      </w:pPr>
      <w:r>
        <w:rPr>
          <w:rFonts w:hint="eastAsia" w:ascii="宋体" w:hAnsi="宋体" w:cs="宋体"/>
          <w:kern w:val="0"/>
          <w:szCs w:val="21"/>
        </w:rPr>
        <w:t>支付给客户的理财收益的应纳税款由客户自行申报及缴纳</w:t>
      </w:r>
      <w:r>
        <w:rPr>
          <w:rFonts w:hint="eastAsia" w:ascii="宋体" w:hAnsi="宋体" w:cs="宋体"/>
          <w:bCs/>
          <w:iCs/>
          <w:color w:val="000000"/>
          <w:kern w:val="0"/>
          <w:szCs w:val="21"/>
        </w:rPr>
        <w:t>。但若依照国家法律或税务等国家机关的命令或要求，银行有义务代扣代缴客户承担的税费时，银行将进行代扣代缴。</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2.固定管理费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本产品固定管理费年化费率0.3</w:t>
      </w:r>
      <w:r>
        <w:rPr>
          <w:rFonts w:ascii="宋体" w:hAnsi="宋体" w:cs="宋体"/>
          <w:b/>
          <w:kern w:val="0"/>
          <w:szCs w:val="21"/>
        </w:rPr>
        <w:t>%</w:t>
      </w:r>
      <w:r>
        <w:rPr>
          <w:rFonts w:hint="eastAsia" w:ascii="宋体" w:hAnsi="宋体" w:cs="宋体"/>
          <w:b/>
          <w:kern w:val="0"/>
          <w:szCs w:val="21"/>
        </w:rPr>
        <w:t>，固定管理费于理财到期</w:t>
      </w:r>
      <w:r>
        <w:rPr>
          <w:rFonts w:ascii="宋体" w:hAnsi="宋体" w:cs="宋体"/>
          <w:b/>
          <w:kern w:val="0"/>
          <w:szCs w:val="21"/>
        </w:rPr>
        <w:t>/</w:t>
      </w:r>
      <w:r>
        <w:rPr>
          <w:rFonts w:hint="eastAsia" w:ascii="宋体" w:hAnsi="宋体" w:cs="宋体"/>
          <w:b/>
          <w:kern w:val="0"/>
          <w:szCs w:val="21"/>
        </w:rPr>
        <w:t>终止清算分配时从理财财产中支付慈溪农村商业银行。理财产品实际运作结果未达到业绩比较基准下限时，慈溪农村商业银行有权减免固定管理费。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本产品每日计提的固定管理费计算方式为：该前一日资产净值×0.3%／365。</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3.托管费及估值外包服务费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本产品托管银行为招商银行股份有限公司杭州分行，招商银行股份有限公司担任本产品的估值核算等业务</w:t>
      </w:r>
      <w:r>
        <w:rPr>
          <w:rFonts w:ascii="宋体" w:hAnsi="宋体" w:cs="宋体"/>
          <w:b/>
          <w:kern w:val="0"/>
          <w:szCs w:val="21"/>
        </w:rPr>
        <w:t>的</w:t>
      </w:r>
      <w:r>
        <w:rPr>
          <w:rFonts w:hint="eastAsia" w:ascii="宋体" w:hAnsi="宋体" w:cs="宋体"/>
          <w:b/>
          <w:kern w:val="0"/>
          <w:szCs w:val="21"/>
        </w:rPr>
        <w:t>外包服务机构，收取的托管费年化费率为0.015%，本产品不收取估值外包服务费，托管费于理财到期/终止清算分配时从理财财产中支付。</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本产品每日计提的托管费计算方式为：该前一日资产净值×0.015%／365。</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4.本产品不收取销售费。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5.浮动管理费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产品扣除固定管理费、销售费、托管费、估值外包服务费后，本产品年化收益率未超过业绩比较基准上限，慈溪农村商业银行不收取浮动管理费；年化收益率超过业绩比较基准上限的部分，30%归存续客户所有，其余70%作为慈溪农村商业银行的浮动管理费。浮动管理费于理财到期</w:t>
      </w:r>
      <w:r>
        <w:rPr>
          <w:rFonts w:ascii="宋体" w:hAnsi="宋体" w:cs="宋体"/>
          <w:b/>
          <w:kern w:val="0"/>
          <w:szCs w:val="21"/>
        </w:rPr>
        <w:t>/</w:t>
      </w:r>
      <w:r>
        <w:rPr>
          <w:rFonts w:hint="eastAsia" w:ascii="宋体" w:hAnsi="宋体" w:cs="宋体"/>
          <w:b/>
          <w:kern w:val="0"/>
          <w:szCs w:val="21"/>
        </w:rPr>
        <w:t>终止清算分配时从理财财产中支付慈溪农村商业银行。</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（五）支付方式</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理财期满</w:t>
      </w:r>
      <w:r>
        <w:rPr>
          <w:rFonts w:ascii="宋体" w:hAnsi="宋体" w:cs="宋体"/>
          <w:bCs/>
          <w:iCs/>
          <w:color w:val="000000"/>
          <w:kern w:val="0"/>
          <w:szCs w:val="21"/>
        </w:rPr>
        <w:t>/</w:t>
      </w:r>
      <w:r>
        <w:rPr>
          <w:rFonts w:hint="eastAsia" w:ascii="宋体" w:hAnsi="宋体" w:cs="宋体"/>
          <w:bCs/>
          <w:iCs/>
          <w:color w:val="000000"/>
          <w:kern w:val="0"/>
          <w:szCs w:val="21"/>
        </w:rPr>
        <w:t>实际终止时，慈溪农村商业银行在到期日</w:t>
      </w:r>
      <w:r>
        <w:rPr>
          <w:rFonts w:hint="eastAsia" w:ascii="宋体" w:hAnsi="宋体"/>
          <w:szCs w:val="21"/>
        </w:rPr>
        <w:t>后</w:t>
      </w:r>
      <w:r>
        <w:rPr>
          <w:rFonts w:ascii="宋体" w:hAnsi="宋体"/>
          <w:szCs w:val="21"/>
        </w:rPr>
        <w:t>3</w:t>
      </w:r>
      <w:r>
        <w:rPr>
          <w:rFonts w:hint="eastAsia" w:ascii="宋体" w:hAnsi="宋体"/>
          <w:szCs w:val="21"/>
        </w:rPr>
        <w:t>个工作日内</w:t>
      </w:r>
      <w:r>
        <w:rPr>
          <w:rFonts w:ascii="宋体" w:hAnsi="宋体" w:cs="宋体"/>
          <w:bCs/>
          <w:iCs/>
          <w:color w:val="000000"/>
          <w:kern w:val="0"/>
          <w:szCs w:val="21"/>
        </w:rPr>
        <w:t>/</w:t>
      </w:r>
      <w:r>
        <w:rPr>
          <w:rFonts w:hint="eastAsia" w:ascii="宋体" w:hAnsi="宋体" w:cs="宋体"/>
          <w:bCs/>
          <w:iCs/>
          <w:color w:val="000000"/>
          <w:kern w:val="0"/>
          <w:szCs w:val="21"/>
        </w:rPr>
        <w:t>实际终止日后</w:t>
      </w:r>
      <w:r>
        <w:rPr>
          <w:rFonts w:ascii="宋体" w:hAnsi="宋体" w:cs="宋体"/>
          <w:bCs/>
          <w:iCs/>
          <w:color w:val="000000"/>
          <w:kern w:val="0"/>
          <w:szCs w:val="21"/>
        </w:rPr>
        <w:t>3</w:t>
      </w:r>
      <w:r>
        <w:rPr>
          <w:rFonts w:hint="eastAsia" w:ascii="宋体" w:hAnsi="宋体" w:cs="宋体"/>
          <w:bCs/>
          <w:iCs/>
          <w:color w:val="000000"/>
          <w:kern w:val="0"/>
          <w:szCs w:val="21"/>
        </w:rPr>
        <w:t>个工作日内将客户的理财资金划转至客户指定账户。</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四、在本理财产品发行期或理财期限内，如遇包括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pPr>
        <w:spacing w:line="360" w:lineRule="exact"/>
        <w:ind w:firstLine="420" w:firstLineChars="200"/>
        <w:rPr>
          <w:rFonts w:ascii="宋体" w:cs="宋体"/>
          <w:b/>
          <w:bCs/>
          <w:iCs/>
          <w:color w:val="000000"/>
          <w:kern w:val="0"/>
          <w:szCs w:val="21"/>
        </w:rPr>
      </w:pPr>
      <w:r>
        <w:rPr>
          <w:rFonts w:hint="eastAsia" w:ascii="宋体" w:hAnsi="宋体" w:cs="宋体"/>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Pr>
          <w:rFonts w:ascii="宋体" w:hAnsi="宋体" w:cs="宋体"/>
          <w:b/>
          <w:bCs/>
          <w:iCs/>
          <w:color w:val="000000"/>
          <w:kern w:val="0"/>
          <w:szCs w:val="21"/>
        </w:rPr>
        <w:t>3</w:t>
      </w:r>
      <w:r>
        <w:rPr>
          <w:rFonts w:hint="eastAsia" w:ascii="宋体" w:hAnsi="宋体" w:cs="宋体"/>
          <w:b/>
          <w:bCs/>
          <w:iCs/>
          <w:color w:val="000000"/>
          <w:kern w:val="0"/>
          <w:szCs w:val="21"/>
        </w:rPr>
        <w:t>个工作日内，向慈溪农村商业银行申请提前赎回理财产品。提前赎回时的理财收益按实际理财天数和实际投资情况计算。</w:t>
      </w:r>
    </w:p>
    <w:p>
      <w:pPr>
        <w:autoSpaceDE w:val="0"/>
        <w:autoSpaceDN w:val="0"/>
        <w:spacing w:line="360" w:lineRule="exact"/>
        <w:ind w:firstLine="420" w:firstLineChars="200"/>
        <w:jc w:val="left"/>
        <w:rPr>
          <w:rFonts w:ascii="宋体" w:cs="¿¬Ìå_GB2312"/>
          <w:b/>
          <w:szCs w:val="21"/>
        </w:rPr>
      </w:pPr>
      <w:r>
        <w:rPr>
          <w:rFonts w:hint="eastAsia" w:ascii="宋体" w:hAnsi="宋体" w:cs="¿¬Ìå_GB2312"/>
          <w:b/>
          <w:szCs w:val="21"/>
        </w:rPr>
        <w:t>五</w:t>
      </w:r>
      <w:r>
        <w:rPr>
          <w:rFonts w:hint="eastAsia" w:ascii="宋体" w:hAnsi="宋体" w:cs="楷体_GB2312,Bold"/>
          <w:b/>
          <w:bCs/>
          <w:szCs w:val="21"/>
        </w:rPr>
        <w:t>、风险提示</w:t>
      </w:r>
    </w:p>
    <w:p>
      <w:pPr>
        <w:spacing w:line="360" w:lineRule="exact"/>
        <w:ind w:firstLine="420" w:firstLineChars="200"/>
        <w:rPr>
          <w:rFonts w:ascii="宋体" w:hAnsi="宋体" w:cs="宋体"/>
          <w:b/>
          <w:color w:val="000000"/>
          <w:kern w:val="0"/>
          <w:szCs w:val="21"/>
        </w:rPr>
      </w:pPr>
      <w:r>
        <w:rPr>
          <w:rFonts w:hint="eastAsia" w:ascii="宋体" w:hAnsi="宋体" w:cs="宋体"/>
          <w:b/>
          <w:color w:val="000000"/>
          <w:kern w:val="0"/>
          <w:szCs w:val="21"/>
        </w:rPr>
        <w:t>本理财产品不保证本金和收益，您的本金与收益可能会因市场变动而蒙受重大损失，请您仔细阅读《风险揭示书》，充分认识投资风险，谨慎投资。</w:t>
      </w:r>
    </w:p>
    <w:p>
      <w:pPr>
        <w:autoSpaceDE w:val="0"/>
        <w:autoSpaceDN w:val="0"/>
        <w:spacing w:line="360" w:lineRule="exact"/>
        <w:ind w:firstLine="420" w:firstLineChars="200"/>
        <w:jc w:val="left"/>
        <w:rPr>
          <w:rFonts w:ascii="宋体" w:cs="楷体_GB2312,Bold"/>
          <w:bCs/>
          <w:szCs w:val="21"/>
        </w:rPr>
      </w:pPr>
      <w:r>
        <w:rPr>
          <w:rFonts w:hint="eastAsia" w:ascii="宋体" w:hAnsi="宋体" w:cs="¿¬Ìå_GB2312"/>
          <w:szCs w:val="21"/>
        </w:rPr>
        <w:t>六</w:t>
      </w:r>
      <w:r>
        <w:rPr>
          <w:rFonts w:hint="eastAsia" w:ascii="宋体" w:hAnsi="宋体" w:cs="楷体_GB2312,Bold"/>
          <w:bCs/>
          <w:szCs w:val="21"/>
        </w:rPr>
        <w:t>、信息公告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（一）慈溪农村商业银行将在理财产品实际到期日后5个工作日内，在慈溪农村商业银行网站（</w:t>
      </w:r>
      <w:r>
        <w:rPr>
          <w:rFonts w:ascii="宋体" w:hAnsi="宋体" w:cs="楷体_GB2312"/>
          <w:szCs w:val="21"/>
        </w:rPr>
        <w:t>www.cixibank.com</w:t>
      </w:r>
      <w:r>
        <w:rPr>
          <w:rFonts w:hint="eastAsia" w:ascii="宋体" w:hAnsi="宋体" w:cs="楷体_GB2312"/>
          <w:szCs w:val="21"/>
        </w:rPr>
        <w:t>）或相关营业网点向客户发布产品清算公告。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（二）理财产品成立、提前终止或不能成立，理财产品发行银行将于该事项发生后5个工作日内，在慈溪农村商业银行网站（</w:t>
      </w:r>
      <w:r>
        <w:rPr>
          <w:rFonts w:ascii="宋体" w:hAnsi="宋体" w:cs="楷体_GB2312"/>
          <w:szCs w:val="21"/>
        </w:rPr>
        <w:t>www.cixibank.com</w:t>
      </w:r>
      <w:r>
        <w:rPr>
          <w:rFonts w:hint="eastAsia" w:ascii="宋体" w:hAnsi="宋体" w:cs="楷体_GB2312"/>
          <w:szCs w:val="21"/>
        </w:rPr>
        <w:t>）或相关营业网点发布相关信息公告。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（三）本产品存续期间，每周在慈溪农村商业银行网站（</w:t>
      </w:r>
      <w:r>
        <w:rPr>
          <w:rFonts w:ascii="宋体" w:hAnsi="宋体" w:cs="楷体_GB2312"/>
          <w:szCs w:val="21"/>
        </w:rPr>
        <w:t>www.cixibank.com</w:t>
      </w:r>
      <w:r>
        <w:rPr>
          <w:rFonts w:hint="eastAsia" w:ascii="宋体" w:hAnsi="宋体" w:cs="楷体_GB2312"/>
          <w:szCs w:val="21"/>
        </w:rPr>
        <w:t>）或相关营业网点发布理财产品净值。</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（四）本产品存续期间，慈溪农村商业银行将提前1个工作日，通过在慈溪农村商业银行网站（</w:t>
      </w:r>
      <w:r>
        <w:rPr>
          <w:rFonts w:ascii="宋体" w:hAnsi="宋体" w:cs="楷体_GB2312"/>
          <w:szCs w:val="21"/>
        </w:rPr>
        <w:t>www.cixibank.com</w:t>
      </w:r>
      <w:r>
        <w:rPr>
          <w:rFonts w:hint="eastAsia" w:ascii="宋体" w:hAnsi="宋体" w:cs="楷体_GB2312"/>
          <w:szCs w:val="21"/>
        </w:rPr>
        <w:t>）或相关营业网点发布关于投资对象和投资比例、产品业绩比较基准、估值方法变更等相关信息。</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（五）理财产品存续期间如发生慈溪农村商业银行认为可能影响理财产品正常运作的重大不利事项时，慈溪农村商业银行将及时在在慈溪农村商业银行网站（</w:t>
      </w:r>
      <w:r>
        <w:rPr>
          <w:rFonts w:ascii="宋体" w:hAnsi="宋体" w:cs="楷体_GB2312"/>
          <w:szCs w:val="21"/>
        </w:rPr>
        <w:t>www.cixibank.com</w:t>
      </w:r>
      <w:r>
        <w:rPr>
          <w:rFonts w:hint="eastAsia" w:ascii="宋体" w:hAnsi="宋体" w:cs="楷体_GB2312"/>
          <w:szCs w:val="21"/>
        </w:rPr>
        <w:t>）或相关营业网点发布信息公告。</w:t>
      </w:r>
    </w:p>
    <w:p>
      <w:pPr>
        <w:spacing w:line="360" w:lineRule="exact"/>
        <w:ind w:firstLine="420" w:firstLineChars="200"/>
        <w:rPr>
          <w:rFonts w:ascii="宋体" w:hAnsi="宋体" w:cs="楷体_GB2312"/>
          <w:szCs w:val="21"/>
        </w:rPr>
      </w:pPr>
    </w:p>
    <w:p>
      <w:pPr>
        <w:spacing w:line="360" w:lineRule="exact"/>
        <w:ind w:firstLine="420" w:firstLineChars="200"/>
        <w:rPr>
          <w:rFonts w:ascii="宋体" w:hAnsi="宋体" w:cs="楷体_GB2312"/>
          <w:szCs w:val="21"/>
        </w:rPr>
      </w:pPr>
      <w:r>
        <w:rPr>
          <w:rFonts w:hint="eastAsia" w:ascii="宋体" w:hAnsi="宋体" w:cs="楷体_GB2312"/>
          <w:szCs w:val="21"/>
        </w:rPr>
        <w:t>个人客户（签字）：                        机构客户（签章）：</w:t>
      </w:r>
    </w:p>
    <w:p>
      <w:pPr>
        <w:spacing w:line="360" w:lineRule="exact"/>
        <w:ind w:firstLine="4725" w:firstLineChars="2250"/>
        <w:rPr>
          <w:rFonts w:ascii="宋体" w:hAnsi="宋体" w:cs="楷体_GB2312"/>
          <w:szCs w:val="21"/>
        </w:rPr>
      </w:pPr>
      <w:r>
        <w:rPr>
          <w:rFonts w:hint="eastAsia" w:ascii="宋体" w:hAnsi="宋体" w:cs="楷体_GB2312"/>
          <w:szCs w:val="21"/>
        </w:rPr>
        <w:t>法定代表人（或授权代理人）：</w:t>
      </w:r>
    </w:p>
    <w:p>
      <w:pPr>
        <w:spacing w:line="360" w:lineRule="exact"/>
        <w:ind w:right="-333" w:rightChars="-159"/>
        <w:jc w:val="left"/>
        <w:rPr>
          <w:rFonts w:ascii="宋体" w:hAnsi="宋体" w:cs="楷体_GB2312"/>
          <w:szCs w:val="21"/>
        </w:rPr>
      </w:pPr>
      <w:r>
        <w:rPr>
          <w:rFonts w:hint="eastAsia" w:ascii="宋体" w:hAnsi="宋体" w:cs="楷体_GB2312"/>
          <w:szCs w:val="21"/>
        </w:rPr>
        <w:t xml:space="preserve">    日期：     年   月   日                  日期：    年    月   日</w:t>
      </w:r>
    </w:p>
    <w:p/>
    <w:p>
      <w:pPr>
        <w:widowControl/>
        <w:jc w:val="left"/>
        <w:rPr>
          <w:rFonts w:ascii="方正小标宋简体" w:eastAsia="方正小标宋简体"/>
          <w:sz w:val="32"/>
          <w:szCs w:val="32"/>
        </w:rPr>
      </w:pPr>
      <w:r>
        <w:rPr>
          <w:rFonts w:ascii="方正小标宋简体" w:eastAsia="方正小标宋简体"/>
          <w:sz w:val="32"/>
          <w:szCs w:val="32"/>
        </w:rPr>
        <w:br w:type="page"/>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丰收信福2025年第328期</w:t>
      </w:r>
      <w:r>
        <w:rPr>
          <w:rFonts w:ascii="方正小标宋简体" w:eastAsia="方正小标宋简体"/>
          <w:sz w:val="32"/>
          <w:szCs w:val="32"/>
        </w:rPr>
        <w:t>封闭净值型理财产品</w:t>
      </w:r>
      <w:r>
        <w:rPr>
          <w:rFonts w:hint="eastAsia" w:ascii="方正小标宋简体" w:eastAsia="方正小标宋简体"/>
          <w:sz w:val="32"/>
          <w:szCs w:val="32"/>
        </w:rPr>
        <w:t>客户权益须知</w:t>
      </w:r>
    </w:p>
    <w:p>
      <w:pPr>
        <w:autoSpaceDE w:val="0"/>
        <w:autoSpaceDN w:val="0"/>
        <w:spacing w:line="320" w:lineRule="exact"/>
        <w:ind w:firstLine="548" w:firstLineChars="196"/>
        <w:jc w:val="left"/>
        <w:rPr>
          <w:rFonts w:ascii="宋体" w:hAnsi="宋体"/>
          <w:sz w:val="28"/>
          <w:szCs w:val="28"/>
        </w:rPr>
      </w:pPr>
    </w:p>
    <w:p>
      <w:pPr>
        <w:spacing w:line="320" w:lineRule="exact"/>
        <w:rPr>
          <w:rFonts w:ascii="宋体" w:hAnsi="宋体"/>
          <w:szCs w:val="21"/>
        </w:rPr>
      </w:pPr>
      <w:r>
        <w:rPr>
          <w:rFonts w:hint="eastAsia" w:ascii="宋体" w:hAnsi="宋体"/>
          <w:szCs w:val="21"/>
        </w:rPr>
        <w:t>尊敬的客户：</w:t>
      </w:r>
    </w:p>
    <w:p>
      <w:pPr>
        <w:spacing w:line="320" w:lineRule="exact"/>
        <w:ind w:firstLine="420" w:firstLineChars="200"/>
        <w:rPr>
          <w:rFonts w:ascii="宋体" w:hAnsi="宋体"/>
          <w:b/>
          <w:szCs w:val="21"/>
        </w:rPr>
      </w:pPr>
      <w:r>
        <w:rPr>
          <w:rFonts w:hint="eastAsia" w:ascii="宋体" w:hAnsi="宋体"/>
          <w:b/>
          <w:szCs w:val="21"/>
        </w:rPr>
        <w:t>理财非存款、产品有风险、投资须谨慎。</w:t>
      </w:r>
    </w:p>
    <w:p>
      <w:pPr>
        <w:spacing w:line="320" w:lineRule="exact"/>
        <w:ind w:firstLine="420" w:firstLineChars="200"/>
        <w:rPr>
          <w:rFonts w:ascii="宋体" w:hAnsi="宋体"/>
          <w:b/>
          <w:szCs w:val="21"/>
        </w:rPr>
      </w:pPr>
      <w:r>
        <w:rPr>
          <w:rFonts w:hint="eastAsia" w:ascii="宋体" w:hAnsi="宋体"/>
          <w:b/>
          <w:szCs w:val="21"/>
        </w:rPr>
        <w:t>您购买的本款产品是由宁波慈溪农村商业银行股份有限公司（以下简称 “本行”）自主发售的理财产品。为保障您的合法权益，请您在进行金融投资时，警惕任何人与机构假借本行理财产品之名推介、推销其他类型产品。</w:t>
      </w:r>
    </w:p>
    <w:p>
      <w:pPr>
        <w:spacing w:line="320" w:lineRule="exact"/>
        <w:ind w:firstLine="420" w:firstLineChars="200"/>
        <w:rPr>
          <w:rFonts w:ascii="宋体" w:hAnsi="宋体"/>
          <w:szCs w:val="21"/>
        </w:rPr>
      </w:pPr>
      <w:r>
        <w:rPr>
          <w:rFonts w:hint="eastAsia" w:ascii="宋体" w:hAnsi="宋体"/>
          <w:szCs w:val="21"/>
        </w:rPr>
        <w:t>为了保护您的合法权益，请在投资理财产品之前认真阅读以下内容,</w:t>
      </w:r>
      <w:r>
        <w:rPr>
          <w:rFonts w:ascii="宋体" w:hAnsi="宋体"/>
          <w:szCs w:val="21"/>
        </w:rPr>
        <w:t xml:space="preserve"> 如对本理财产品</w:t>
      </w:r>
      <w:r>
        <w:rPr>
          <w:rFonts w:hint="eastAsia" w:ascii="宋体" w:hAnsi="宋体"/>
          <w:szCs w:val="21"/>
        </w:rPr>
        <w:t>销售协议书、产品说明书、风险揭示书、客户权益须知等销售文件内容或产品购买流程等有任何不明之处，请及时向销售机构相关人员进行咨询；在购买理财产品后，请关注理财产品的信息披露情况，及时获取相关信息；如对理财产品有任何意见和建议，请关注本行相关联络方式并予以反馈，或通过销售机构转达：</w:t>
      </w:r>
    </w:p>
    <w:p>
      <w:pPr>
        <w:spacing w:line="320" w:lineRule="exact"/>
        <w:ind w:firstLine="420" w:firstLineChars="200"/>
        <w:rPr>
          <w:rFonts w:ascii="宋体" w:hAnsi="宋体"/>
          <w:b/>
          <w:szCs w:val="21"/>
        </w:rPr>
      </w:pPr>
      <w:r>
        <w:rPr>
          <w:rFonts w:hint="eastAsia" w:ascii="宋体" w:hAnsi="宋体"/>
          <w:b/>
          <w:szCs w:val="21"/>
        </w:rPr>
        <w:t>一、相关定义</w:t>
      </w:r>
    </w:p>
    <w:p>
      <w:pPr>
        <w:spacing w:line="320" w:lineRule="exact"/>
        <w:ind w:firstLine="420" w:firstLineChars="200"/>
        <w:rPr>
          <w:rFonts w:ascii="宋体" w:hAnsi="宋体"/>
          <w:szCs w:val="21"/>
        </w:rPr>
      </w:pPr>
      <w:r>
        <w:rPr>
          <w:rFonts w:hint="eastAsia" w:ascii="宋体" w:hAnsi="宋体"/>
          <w:szCs w:val="21"/>
        </w:rPr>
        <w:t>理财产品：是指商业银行按照约定条件和实际投资收益情况向投资者支付收益、不保证本金支付和收益水平的非保本理财产品。各款理财产品的具体细节详见对应的产品说明。</w:t>
      </w:r>
    </w:p>
    <w:p>
      <w:pPr>
        <w:spacing w:line="320" w:lineRule="exact"/>
        <w:ind w:firstLine="420" w:firstLineChars="200"/>
        <w:rPr>
          <w:rFonts w:ascii="宋体" w:hAnsi="宋体"/>
          <w:szCs w:val="21"/>
        </w:rPr>
      </w:pPr>
      <w:r>
        <w:rPr>
          <w:rFonts w:hint="eastAsia" w:ascii="宋体" w:hAnsi="宋体"/>
          <w:szCs w:val="21"/>
        </w:rPr>
        <w:t>理财产品销售：是指商业银行将本行发行的理财产品向投资者进行宣传推介和办理认购、赎回等业务活动。</w:t>
      </w:r>
    </w:p>
    <w:p>
      <w:pPr>
        <w:spacing w:line="320" w:lineRule="exact"/>
        <w:ind w:firstLine="420" w:firstLineChars="200"/>
        <w:rPr>
          <w:szCs w:val="21"/>
        </w:rPr>
      </w:pPr>
      <w:r>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80%。本理财产品不保证本金和收益，投资者可能会因市场变动而蒙受收益及本金损失，投资者应充分认识投资风险，谨慎投资</w:t>
      </w:r>
      <w:r>
        <w:rPr>
          <w:rFonts w:hint="eastAsia"/>
          <w:szCs w:val="21"/>
        </w:rPr>
        <w:t>。</w:t>
      </w:r>
    </w:p>
    <w:p>
      <w:pPr>
        <w:spacing w:line="320" w:lineRule="exact"/>
        <w:ind w:firstLine="420" w:firstLineChars="200"/>
        <w:rPr>
          <w:rFonts w:ascii="宋体" w:hAnsi="宋体"/>
          <w:b/>
          <w:szCs w:val="21"/>
        </w:rPr>
      </w:pPr>
      <w:r>
        <w:rPr>
          <w:rFonts w:hint="eastAsia" w:ascii="宋体" w:hAnsi="宋体"/>
          <w:b/>
          <w:szCs w:val="21"/>
        </w:rPr>
        <w:t>二、办理流程</w:t>
      </w:r>
    </w:p>
    <w:p>
      <w:pPr>
        <w:autoSpaceDE w:val="0"/>
        <w:autoSpaceDN w:val="0"/>
        <w:spacing w:line="320" w:lineRule="exact"/>
        <w:ind w:firstLine="420" w:firstLineChars="200"/>
        <w:jc w:val="left"/>
        <w:rPr>
          <w:rFonts w:ascii="宋体" w:hAnsi="宋体"/>
          <w:szCs w:val="21"/>
        </w:rPr>
      </w:pPr>
      <w:r>
        <w:rPr>
          <w:rFonts w:hint="eastAsia" w:ascii="宋体" w:hAnsi="宋体"/>
          <w:szCs w:val="21"/>
        </w:rPr>
        <w:t>（一）开立结算账户</w:t>
      </w:r>
    </w:p>
    <w:p>
      <w:pPr>
        <w:autoSpaceDE w:val="0"/>
        <w:autoSpaceDN w:val="0"/>
        <w:spacing w:line="320" w:lineRule="exact"/>
        <w:ind w:firstLine="420" w:firstLineChars="200"/>
        <w:jc w:val="left"/>
        <w:rPr>
          <w:rFonts w:ascii="宋体" w:hAnsi="宋体"/>
          <w:szCs w:val="21"/>
        </w:rPr>
      </w:pPr>
      <w:r>
        <w:rPr>
          <w:rFonts w:hint="eastAsia" w:ascii="宋体" w:hAnsi="宋体"/>
          <w:szCs w:val="21"/>
        </w:rPr>
        <w:t>在本行办理理财产品业务，请客户事先办妥结算账户（存折或借记卡），并存足认购金额。</w:t>
      </w:r>
    </w:p>
    <w:p>
      <w:pPr>
        <w:autoSpaceDE w:val="0"/>
        <w:autoSpaceDN w:val="0"/>
        <w:spacing w:line="320" w:lineRule="exact"/>
        <w:ind w:firstLine="420" w:firstLineChars="200"/>
        <w:jc w:val="left"/>
        <w:rPr>
          <w:rFonts w:ascii="宋体" w:hAnsi="宋体"/>
          <w:szCs w:val="21"/>
        </w:rPr>
      </w:pPr>
      <w:r>
        <w:rPr>
          <w:rFonts w:hint="eastAsia" w:ascii="宋体" w:hAnsi="宋体"/>
          <w:szCs w:val="21"/>
        </w:rPr>
        <w:t>（二）签署相关协议</w:t>
      </w:r>
    </w:p>
    <w:p>
      <w:pPr>
        <w:autoSpaceDE w:val="0"/>
        <w:autoSpaceDN w:val="0"/>
        <w:spacing w:line="320" w:lineRule="exact"/>
        <w:ind w:firstLine="420" w:firstLineChars="200"/>
        <w:jc w:val="left"/>
        <w:rPr>
          <w:rFonts w:ascii="宋体" w:hAnsi="宋体"/>
          <w:szCs w:val="21"/>
        </w:rPr>
      </w:pPr>
      <w:r>
        <w:rPr>
          <w:rFonts w:hint="eastAsia" w:ascii="宋体" w:hAnsi="宋体"/>
          <w:szCs w:val="21"/>
        </w:rPr>
        <w:t>客户购买本理财产品需仔细阅读并签署该产品相对应的理财产品协议书、理财产品说明书、风险揭示书、客户权益须知等，填写理财客户风险承受能力评估问卷。</w:t>
      </w:r>
    </w:p>
    <w:p>
      <w:pPr>
        <w:spacing w:line="320" w:lineRule="exact"/>
        <w:ind w:firstLine="420" w:firstLineChars="200"/>
        <w:rPr>
          <w:rFonts w:ascii="宋体" w:hAnsi="宋体"/>
          <w:szCs w:val="21"/>
        </w:rPr>
      </w:pPr>
      <w:r>
        <w:rPr>
          <w:rFonts w:hint="eastAsia" w:ascii="宋体" w:hAnsi="宋体"/>
          <w:szCs w:val="21"/>
        </w:rPr>
        <w:t>机构客户不需要进行有关客户风险承受能力评估。</w:t>
      </w:r>
    </w:p>
    <w:p>
      <w:pPr>
        <w:autoSpaceDE w:val="0"/>
        <w:autoSpaceDN w:val="0"/>
        <w:spacing w:line="320" w:lineRule="exact"/>
        <w:ind w:firstLine="315" w:firstLineChars="150"/>
        <w:jc w:val="left"/>
        <w:rPr>
          <w:rFonts w:ascii="宋体" w:hAnsi="宋体"/>
          <w:szCs w:val="21"/>
        </w:rPr>
      </w:pPr>
      <w:r>
        <w:rPr>
          <w:rFonts w:hint="eastAsia" w:ascii="宋体" w:hAnsi="宋体"/>
          <w:szCs w:val="21"/>
        </w:rPr>
        <w:t>（三）各交易渠道（包括但不限网点柜面、自助终端、丰收互联、网上银行）业务委托</w:t>
      </w:r>
    </w:p>
    <w:p>
      <w:pPr>
        <w:autoSpaceDE w:val="0"/>
        <w:autoSpaceDN w:val="0"/>
        <w:spacing w:line="320" w:lineRule="exact"/>
        <w:ind w:firstLine="420" w:firstLineChars="200"/>
        <w:jc w:val="left"/>
        <w:rPr>
          <w:rFonts w:ascii="宋体" w:hAnsi="宋体"/>
          <w:szCs w:val="21"/>
        </w:rPr>
      </w:pPr>
      <w:r>
        <w:rPr>
          <w:rFonts w:hint="eastAsia" w:ascii="宋体" w:hAnsi="宋体"/>
          <w:szCs w:val="21"/>
        </w:rPr>
        <w:t>1.网点柜面。在产品认购期内，个人投资者持本人有效身份证件和本行个人结算账户（存折或借记卡）到本行营业网点认购、申购理财产品。机构投资者持机构证件（账户开户时所维护的证件）、法定代表人或单位负责人的有效身份证件以及单位公章和银行预留印鉴，若授权他人办理时，还应出具其法定代表人或单位负责人的授权书及经办人的有效身份证件。</w:t>
      </w:r>
    </w:p>
    <w:p>
      <w:pPr>
        <w:autoSpaceDE w:val="0"/>
        <w:autoSpaceDN w:val="0"/>
        <w:spacing w:line="320" w:lineRule="exact"/>
        <w:ind w:firstLine="420" w:firstLineChars="200"/>
        <w:jc w:val="left"/>
        <w:rPr>
          <w:rFonts w:ascii="宋体" w:hAnsi="宋体"/>
          <w:szCs w:val="21"/>
        </w:rPr>
      </w:pPr>
      <w:r>
        <w:rPr>
          <w:rFonts w:hint="eastAsia" w:ascii="宋体" w:hAnsi="宋体"/>
          <w:szCs w:val="21"/>
        </w:rPr>
        <w:t>2.自助终端。客户开通本行自助终端投资理财功能后，即可通过本行自助终端（仅限开通理财产品销售功能）进行理财产品的认购、申购等业务。</w:t>
      </w:r>
    </w:p>
    <w:p>
      <w:pPr>
        <w:autoSpaceDE w:val="0"/>
        <w:autoSpaceDN w:val="0"/>
        <w:spacing w:line="320" w:lineRule="exact"/>
        <w:ind w:firstLine="420" w:firstLineChars="200"/>
        <w:jc w:val="left"/>
        <w:rPr>
          <w:rFonts w:ascii="宋体" w:hAnsi="宋体"/>
          <w:szCs w:val="21"/>
        </w:rPr>
      </w:pPr>
      <w:r>
        <w:rPr>
          <w:rFonts w:hint="eastAsia" w:ascii="宋体" w:hAnsi="宋体"/>
          <w:szCs w:val="21"/>
        </w:rPr>
        <w:t>3.</w:t>
      </w:r>
      <w:r>
        <w:rPr>
          <w:rFonts w:ascii="宋体" w:hAnsi="宋体"/>
          <w:szCs w:val="21"/>
        </w:rPr>
        <w:t>丰收互联。客户开通本行丰收互联理财功能后，即可通过丰收互联丰收E户通进行理财产品的认购、申购等业务</w:t>
      </w:r>
      <w:r>
        <w:rPr>
          <w:rFonts w:hint="eastAsia" w:ascii="宋体" w:hAnsi="宋体"/>
          <w:szCs w:val="21"/>
        </w:rPr>
        <w:t>。</w:t>
      </w:r>
    </w:p>
    <w:p>
      <w:pPr>
        <w:autoSpaceDE w:val="0"/>
        <w:autoSpaceDN w:val="0"/>
        <w:spacing w:line="320" w:lineRule="exact"/>
        <w:ind w:firstLine="420" w:firstLineChars="200"/>
        <w:jc w:val="left"/>
        <w:rPr>
          <w:rFonts w:ascii="宋体" w:hAnsi="宋体"/>
          <w:szCs w:val="21"/>
        </w:rPr>
      </w:pPr>
      <w:r>
        <w:rPr>
          <w:rFonts w:hint="eastAsia" w:ascii="宋体" w:hAnsi="宋体"/>
          <w:szCs w:val="21"/>
        </w:rPr>
        <w:t>4.网上银行。客户开通本行网上银行投资理财功能后，即可通过互联网登录浙江农信网上银行（www.zj96596.com）进行理财产品的认购、申购等业务。</w:t>
      </w:r>
    </w:p>
    <w:p>
      <w:pPr>
        <w:autoSpaceDE w:val="0"/>
        <w:autoSpaceDN w:val="0"/>
        <w:spacing w:line="320" w:lineRule="exact"/>
        <w:ind w:firstLine="315" w:firstLineChars="150"/>
        <w:jc w:val="left"/>
        <w:rPr>
          <w:rFonts w:ascii="宋体" w:hAnsi="宋体"/>
          <w:szCs w:val="21"/>
        </w:rPr>
      </w:pPr>
      <w:r>
        <w:rPr>
          <w:rFonts w:hint="eastAsia" w:ascii="宋体" w:hAnsi="宋体"/>
          <w:szCs w:val="21"/>
        </w:rPr>
        <w:t>本行营业网点或者网上银行等电子渠道均可办理理财产品的认</w:t>
      </w:r>
      <w:r>
        <w:rPr>
          <w:rFonts w:ascii="宋体" w:hAnsi="宋体"/>
          <w:szCs w:val="21"/>
        </w:rPr>
        <w:t>/</w:t>
      </w:r>
      <w:r>
        <w:rPr>
          <w:rFonts w:hint="eastAsia" w:ascii="宋体" w:hAnsi="宋体"/>
          <w:szCs w:val="21"/>
        </w:rPr>
        <w:t>申购手续，但对于各具体理财产品，本行将自行确定发售渠道。</w:t>
      </w:r>
    </w:p>
    <w:p>
      <w:pPr>
        <w:autoSpaceDE w:val="0"/>
        <w:autoSpaceDN w:val="0"/>
        <w:spacing w:line="320" w:lineRule="exact"/>
        <w:ind w:firstLine="315" w:firstLineChars="150"/>
        <w:jc w:val="left"/>
        <w:rPr>
          <w:rFonts w:ascii="宋体" w:hAnsi="宋体"/>
          <w:b/>
          <w:szCs w:val="21"/>
        </w:rPr>
      </w:pPr>
      <w:r>
        <w:rPr>
          <w:rFonts w:hint="eastAsia" w:ascii="宋体" w:hAnsi="宋体"/>
          <w:b/>
          <w:szCs w:val="21"/>
        </w:rPr>
        <w:t>三、客户风险承受能力评估</w:t>
      </w:r>
    </w:p>
    <w:p>
      <w:pPr>
        <w:spacing w:line="320" w:lineRule="exact"/>
        <w:ind w:firstLine="420" w:firstLineChars="200"/>
        <w:rPr>
          <w:rFonts w:ascii="宋体" w:hAnsi="宋体"/>
          <w:szCs w:val="21"/>
        </w:rPr>
      </w:pPr>
      <w:r>
        <w:rPr>
          <w:rFonts w:hint="eastAsia" w:ascii="宋体" w:hAnsi="宋体"/>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pPr>
        <w:spacing w:line="320" w:lineRule="exact"/>
        <w:ind w:firstLine="420" w:firstLineChars="200"/>
        <w:rPr>
          <w:rFonts w:ascii="宋体" w:hAnsi="宋体"/>
          <w:szCs w:val="21"/>
        </w:rPr>
      </w:pPr>
      <w:r>
        <w:rPr>
          <w:rFonts w:hint="eastAsia" w:ascii="宋体" w:hAnsi="宋体"/>
          <w:szCs w:val="21"/>
        </w:rPr>
        <w:t>客户风险承受能力分为5级，由低至高分别为保守型、谨慎型、稳健型、进取型和激进型，客户只能购买风险评级等于或低于其风险承受能力评级的理财产品。建议您根据自身情况，选择适合自己风险承受能力的理财产品，详见下列表格：</w:t>
      </w:r>
    </w:p>
    <w:tbl>
      <w:tblPr>
        <w:tblStyle w:val="9"/>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3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Fonts w:ascii="宋体" w:hAnsi="宋体"/>
                <w:bCs/>
                <w:color w:val="000000"/>
                <w:szCs w:val="21"/>
              </w:rPr>
            </w:pPr>
            <w:r>
              <w:rPr>
                <w:rFonts w:ascii="宋体" w:hAnsi="宋体"/>
                <w:szCs w:val="21"/>
              </w:rPr>
              <w:br w:type="page"/>
            </w:r>
            <w:r>
              <w:rPr>
                <w:rFonts w:hint="eastAsia" w:ascii="宋体" w:hAnsi="宋体"/>
                <w:bCs/>
                <w:color w:val="000000"/>
                <w:szCs w:val="21"/>
              </w:rPr>
              <w:t>客户</w:t>
            </w:r>
          </w:p>
          <w:p>
            <w:pPr>
              <w:spacing w:line="320" w:lineRule="exact"/>
              <w:jc w:val="center"/>
              <w:rPr>
                <w:rFonts w:ascii="宋体" w:hAnsi="宋体"/>
                <w:szCs w:val="21"/>
              </w:rPr>
            </w:pPr>
            <w:r>
              <w:rPr>
                <w:rFonts w:hint="eastAsia" w:ascii="宋体" w:hAnsi="宋体"/>
                <w:bCs/>
                <w:color w:val="000000"/>
                <w:szCs w:val="21"/>
              </w:rPr>
              <w:t>类型</w:t>
            </w:r>
          </w:p>
        </w:tc>
        <w:tc>
          <w:tcPr>
            <w:tcW w:w="6300" w:type="dxa"/>
            <w:vAlign w:val="center"/>
          </w:tcPr>
          <w:p>
            <w:pPr>
              <w:spacing w:line="320" w:lineRule="exact"/>
              <w:jc w:val="center"/>
              <w:rPr>
                <w:rFonts w:ascii="宋体" w:hAnsi="宋体"/>
                <w:szCs w:val="21"/>
              </w:rPr>
            </w:pPr>
            <w:r>
              <w:rPr>
                <w:rFonts w:hint="eastAsia" w:ascii="宋体" w:hAnsi="宋体"/>
                <w:szCs w:val="21"/>
              </w:rPr>
              <w:t>风险特征描述</w:t>
            </w:r>
          </w:p>
        </w:tc>
        <w:tc>
          <w:tcPr>
            <w:tcW w:w="1620" w:type="dxa"/>
            <w:vAlign w:val="center"/>
          </w:tcPr>
          <w:p>
            <w:pPr>
              <w:spacing w:line="320" w:lineRule="exact"/>
              <w:jc w:val="center"/>
              <w:rPr>
                <w:rFonts w:ascii="宋体" w:hAnsi="宋体"/>
                <w:szCs w:val="21"/>
              </w:rPr>
            </w:pPr>
            <w:r>
              <w:rPr>
                <w:rFonts w:hint="eastAsia" w:ascii="宋体" w:hAnsi="宋体"/>
                <w:szCs w:val="21"/>
              </w:rPr>
              <w:t>适合的</w:t>
            </w:r>
          </w:p>
          <w:p>
            <w:pPr>
              <w:spacing w:line="320" w:lineRule="exact"/>
              <w:jc w:val="center"/>
              <w:rPr>
                <w:rFonts w:ascii="宋体" w:hAnsi="宋体"/>
                <w:szCs w:val="21"/>
              </w:rPr>
            </w:pPr>
            <w:r>
              <w:rPr>
                <w:rFonts w:hint="eastAsia" w:ascii="宋体" w:hAnsi="宋体"/>
                <w:szCs w:val="21"/>
              </w:rPr>
              <w:t>产品类型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保守型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您属于可以承担低风险而作风谨慎类型的投资者。您适合投资于以保本为主的投资工具，但您因此会牺牲资本升值的机会。</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PR1级（低风险）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谨慎型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您属于可以承担低至中等风险类型的投资者。您适合投资于能够权衡保本而亦有若干升值能力的投资工具。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PR2级（中低风险）及以下产品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稳健型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您属于可以承担中等风险类型的投资者。您适合投资于能够为您提供温和升值能力，而投资价值有温和波动的投资工具。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PR3级（中等风险）及以下产品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进取型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您属于可以承担中等至高风险类型的投资者。您适合投资于能够为您提供升值能力，而投资价值有波动的投资工具。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PR4级（中高风险）及以下产品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szCs w:val="21"/>
              </w:rPr>
            </w:pPr>
            <w:r>
              <w:rPr>
                <w:rStyle w:val="12"/>
                <w:rFonts w:hint="eastAsia" w:ascii="宋体" w:hAnsi="宋体"/>
                <w:bCs/>
                <w:szCs w:val="21"/>
              </w:rPr>
              <w:t>激进型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PR5级（高风险）及以下产品</w:t>
            </w:r>
          </w:p>
        </w:tc>
      </w:tr>
    </w:tbl>
    <w:p>
      <w:pPr>
        <w:spacing w:line="320" w:lineRule="exact"/>
        <w:ind w:firstLine="411" w:firstLineChars="196"/>
        <w:rPr>
          <w:rFonts w:ascii="宋体" w:hAnsi="宋体"/>
          <w:b/>
          <w:szCs w:val="21"/>
        </w:rPr>
      </w:pPr>
      <w:r>
        <w:rPr>
          <w:rFonts w:hint="eastAsia" w:ascii="宋体" w:hAnsi="宋体"/>
          <w:b/>
          <w:szCs w:val="21"/>
        </w:rPr>
        <w:t>四、信息披露途径及方式</w:t>
      </w:r>
    </w:p>
    <w:p>
      <w:pPr>
        <w:spacing w:line="320" w:lineRule="exact"/>
        <w:ind w:firstLine="420" w:firstLineChars="200"/>
        <w:rPr>
          <w:rFonts w:ascii="宋体" w:hAnsi="宋体" w:cs="楷体_GB2312"/>
          <w:szCs w:val="21"/>
        </w:rPr>
      </w:pPr>
      <w:r>
        <w:rPr>
          <w:rFonts w:hint="eastAsia" w:ascii="宋体" w:hAnsi="宋体" w:cs="宋体"/>
          <w:kern w:val="0"/>
          <w:szCs w:val="21"/>
        </w:rPr>
        <w:t>理财产品的信息披露将通过本行营业网点或本行网站（</w:t>
      </w:r>
      <w:r>
        <w:rPr>
          <w:rFonts w:ascii="宋体" w:hAnsi="宋体" w:cs="楷体_GB2312"/>
          <w:szCs w:val="21"/>
        </w:rPr>
        <w:t>www.cixibank.com</w:t>
      </w:r>
      <w:r>
        <w:rPr>
          <w:rFonts w:hint="eastAsia" w:ascii="宋体" w:hAnsi="宋体" w:cs="宋体"/>
          <w:kern w:val="0"/>
          <w:szCs w:val="21"/>
        </w:rPr>
        <w:t>）等渠道进行，具体方式、渠道及频率以《产品说明书》中“信息披露”约定为准</w:t>
      </w:r>
      <w:r>
        <w:rPr>
          <w:rFonts w:hint="eastAsia" w:ascii="宋体" w:hAnsi="宋体" w:cs="楷体_GB2312"/>
          <w:szCs w:val="21"/>
        </w:rPr>
        <w:t>。</w:t>
      </w:r>
    </w:p>
    <w:p>
      <w:pPr>
        <w:spacing w:line="320" w:lineRule="exact"/>
        <w:ind w:firstLine="411" w:firstLineChars="196"/>
        <w:rPr>
          <w:rFonts w:ascii="宋体" w:hAnsi="宋体"/>
          <w:b/>
          <w:szCs w:val="21"/>
        </w:rPr>
      </w:pPr>
      <w:r>
        <w:rPr>
          <w:rFonts w:hint="eastAsia" w:ascii="宋体" w:hAnsi="宋体"/>
          <w:b/>
          <w:szCs w:val="21"/>
        </w:rPr>
        <w:t>五、投诉处理和联系方式</w:t>
      </w:r>
    </w:p>
    <w:p>
      <w:pPr>
        <w:spacing w:line="320" w:lineRule="exact"/>
        <w:ind w:firstLine="420" w:firstLineChars="200"/>
        <w:rPr>
          <w:rFonts w:ascii="宋体" w:hAnsi="宋体"/>
          <w:szCs w:val="21"/>
        </w:rPr>
      </w:pPr>
      <w:r>
        <w:rPr>
          <w:rFonts w:hint="eastAsia" w:ascii="宋体" w:hAnsi="宋体"/>
          <w:szCs w:val="21"/>
        </w:rPr>
        <w:t>若客户对本理财产品有任何投诉或建议，请致电本行投拆电话0574-63810682或反馈到本行营业网点，本行将对您所反映的情况和建议进行及时的处理和反馈。</w:t>
      </w:r>
    </w:p>
    <w:p>
      <w:pPr>
        <w:spacing w:line="320" w:lineRule="exact"/>
        <w:ind w:firstLine="411" w:firstLineChars="196"/>
        <w:rPr>
          <w:rFonts w:ascii="宋体" w:hAnsi="宋体"/>
          <w:b/>
          <w:szCs w:val="21"/>
        </w:rPr>
      </w:pPr>
      <w:r>
        <w:rPr>
          <w:rFonts w:hint="eastAsia" w:ascii="宋体" w:hAnsi="宋体"/>
          <w:b/>
          <w:szCs w:val="21"/>
        </w:rPr>
        <w:t>六、银行对投资者提供的信息进行保密，司法机关或国家有关部门依据法律法规规定要求银行协助提供有关信息的除外。</w:t>
      </w:r>
    </w:p>
    <w:p>
      <w:pPr>
        <w:spacing w:line="320" w:lineRule="exact"/>
        <w:ind w:firstLine="420" w:firstLineChars="200"/>
        <w:jc w:val="right"/>
        <w:rPr>
          <w:rFonts w:ascii="宋体" w:hAnsi="宋体"/>
          <w:szCs w:val="21"/>
        </w:rPr>
      </w:pPr>
      <w:r>
        <w:rPr>
          <w:rFonts w:hint="eastAsia" w:ascii="宋体" w:hAnsi="宋体"/>
          <w:szCs w:val="21"/>
        </w:rPr>
        <w:t>客户权益须知提示方：宁波慈溪农村商业银行股份有限公司</w:t>
      </w:r>
    </w:p>
    <w:tbl>
      <w:tblPr>
        <w:tblStyle w:val="9"/>
        <w:tblW w:w="91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Pr>
          <w:p>
            <w:pPr>
              <w:spacing w:line="320" w:lineRule="exact"/>
              <w:jc w:val="center"/>
              <w:rPr>
                <w:rFonts w:ascii="宋体" w:hAnsi="宋体"/>
                <w:b/>
                <w:szCs w:val="21"/>
              </w:rPr>
            </w:pPr>
            <w:r>
              <w:rPr>
                <w:rFonts w:hint="eastAsia" w:ascii="宋体" w:hAnsi="宋体"/>
                <w:b/>
                <w:szCs w:val="21"/>
              </w:rPr>
              <w:t>客户确认栏（个人客户填写）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117" w:type="dxa"/>
            <w:tcBorders>
              <w:bottom w:val="single" w:color="auto" w:sz="4" w:space="0"/>
            </w:tcBorders>
          </w:tcPr>
          <w:p>
            <w:pPr>
              <w:spacing w:line="320" w:lineRule="exact"/>
              <w:ind w:firstLine="420" w:firstLineChars="200"/>
              <w:rPr>
                <w:rFonts w:ascii="宋体" w:hAnsi="宋体"/>
                <w:szCs w:val="21"/>
              </w:rPr>
            </w:pPr>
            <w:r>
              <w:rPr>
                <w:rFonts w:hint="eastAsia" w:ascii="宋体" w:hAnsi="宋体"/>
                <w:szCs w:val="21"/>
              </w:rPr>
              <w:t>本人知悉本理财产品有对应的销售协议书、产品说明书、风险揭示书、客户权益须知等文件共同组成，本人确认收到全部文件且已经认真阅读、理解并接受所有条款及相关法律规定，确认已经获得满意的信息披露，理解本理财产品的性质、风险及可能的损失，并愿意承担且有能力承担该等风险。</w:t>
            </w:r>
          </w:p>
          <w:p>
            <w:pPr>
              <w:spacing w:line="320" w:lineRule="exact"/>
              <w:ind w:firstLine="420" w:firstLineChars="200"/>
              <w:rPr>
                <w:rFonts w:ascii="宋体" w:hAnsi="宋体"/>
                <w:szCs w:val="21"/>
              </w:rPr>
            </w:pPr>
            <w:r>
              <w:rPr>
                <w:rFonts w:hint="eastAsia" w:ascii="宋体" w:hAnsi="宋体"/>
                <w:szCs w:val="21"/>
              </w:rPr>
              <w:t>个人客户（签字）：                           日期：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Borders>
              <w:top w:val="single" w:color="auto" w:sz="4" w:space="0"/>
              <w:bottom w:val="nil"/>
            </w:tcBorders>
          </w:tcPr>
          <w:p>
            <w:pPr>
              <w:spacing w:line="320" w:lineRule="exact"/>
              <w:jc w:val="center"/>
              <w:rPr>
                <w:rFonts w:ascii="宋体" w:hAnsi="宋体"/>
                <w:b/>
                <w:szCs w:val="21"/>
              </w:rPr>
            </w:pPr>
            <w:r>
              <w:rPr>
                <w:rFonts w:hint="eastAsia" w:ascii="宋体" w:hAnsi="宋体"/>
                <w:b/>
                <w:szCs w:val="21"/>
              </w:rPr>
              <w:t>客户确认栏（机构客户填写）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9117" w:type="dxa"/>
            <w:tcBorders>
              <w:top w:val="nil"/>
              <w:bottom w:val="single" w:color="auto" w:sz="4" w:space="0"/>
            </w:tcBorders>
          </w:tcPr>
          <w:p>
            <w:pPr>
              <w:spacing w:line="320" w:lineRule="exact"/>
              <w:ind w:firstLine="420" w:firstLineChars="200"/>
              <w:rPr>
                <w:rFonts w:ascii="宋体" w:hAnsi="宋体"/>
                <w:szCs w:val="21"/>
              </w:rPr>
            </w:pPr>
            <w:r>
              <w:rPr>
                <w:rFonts w:hint="eastAsia" w:ascii="宋体" w:hAnsi="宋体"/>
                <w:szCs w:val="21"/>
              </w:rPr>
              <w:t>本人知悉本理财产品有对应的销售协议书、产品说明书、风险揭示书、客户权益须知等文件共同组成，本人确认收到全部文件且已经认真阅读、理解并接受所有条款及相关法律规定，确认已经获得满意的信息披露，理解本理财产品的性质、风险及可能的损失，并愿意承担且有能力承担该等风险。</w:t>
            </w:r>
          </w:p>
          <w:p>
            <w:pPr>
              <w:spacing w:line="320" w:lineRule="exact"/>
              <w:rPr>
                <w:rFonts w:ascii="宋体" w:hAnsi="宋体"/>
                <w:szCs w:val="21"/>
              </w:rPr>
            </w:pPr>
            <w:r>
              <w:rPr>
                <w:rFonts w:hint="eastAsia" w:ascii="宋体" w:hAnsi="宋体"/>
                <w:szCs w:val="21"/>
              </w:rPr>
              <w:t xml:space="preserve">                                   法定代表人</w:t>
            </w:r>
          </w:p>
          <w:p>
            <w:pPr>
              <w:spacing w:line="320" w:lineRule="exact"/>
              <w:rPr>
                <w:rFonts w:ascii="宋体" w:hAnsi="宋体"/>
                <w:b/>
                <w:bCs/>
                <w:sz w:val="24"/>
              </w:rPr>
            </w:pPr>
            <w:r>
              <w:rPr>
                <w:rFonts w:hint="eastAsia" w:ascii="宋体" w:hAnsi="宋体"/>
                <w:szCs w:val="21"/>
              </w:rPr>
              <w:t>机构客户（签章）：              或授权代理人（签字）：             日期：    年  月  日</w:t>
            </w:r>
          </w:p>
        </w:tc>
      </w:tr>
    </w:tbl>
    <w:p>
      <w:pPr>
        <w:spacing w:line="440" w:lineRule="exact"/>
        <w:jc w:val="center"/>
        <w:rPr>
          <w:rFonts w:ascii="方正小标宋简体" w:eastAsia="方正小标宋简体"/>
          <w:sz w:val="32"/>
          <w:szCs w:val="32"/>
        </w:rPr>
      </w:pPr>
      <w:r>
        <w:rPr>
          <w:rFonts w:ascii="宋体" w:hAnsi="宋体"/>
          <w:sz w:val="24"/>
        </w:rPr>
        <w:br w:type="page"/>
      </w:r>
      <w:r>
        <w:rPr>
          <w:rFonts w:hint="eastAsia" w:ascii="方正小标宋简体" w:eastAsia="方正小标宋简体"/>
          <w:sz w:val="32"/>
          <w:szCs w:val="32"/>
        </w:rPr>
        <w:t>宁波慈溪农村商业银行股份有限公司</w:t>
      </w:r>
    </w:p>
    <w:p>
      <w:pPr>
        <w:spacing w:line="440" w:lineRule="exact"/>
        <w:jc w:val="center"/>
        <w:rPr>
          <w:rFonts w:ascii="方正小标宋简体" w:eastAsia="方正小标宋简体"/>
          <w:sz w:val="36"/>
          <w:szCs w:val="36"/>
        </w:rPr>
      </w:pPr>
      <w:r>
        <w:rPr>
          <w:rFonts w:hint="eastAsia" w:ascii="方正小标宋简体" w:eastAsia="方正小标宋简体"/>
          <w:sz w:val="32"/>
          <w:szCs w:val="32"/>
        </w:rPr>
        <w:t>理财产品销售协议书</w:t>
      </w:r>
    </w:p>
    <w:tbl>
      <w:tblPr>
        <w:tblStyle w:val="9"/>
        <w:tblW w:w="10152"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152" w:type="dxa"/>
            <w:vAlign w:val="center"/>
          </w:tcPr>
          <w:p>
            <w:pPr>
              <w:spacing w:line="280" w:lineRule="exact"/>
              <w:jc w:val="center"/>
              <w:rPr>
                <w:rFonts w:ascii="宋体" w:hAnsi="宋体" w:cs="宋体"/>
                <w:bCs/>
                <w:kern w:val="36"/>
                <w:szCs w:val="21"/>
              </w:rPr>
            </w:pPr>
            <w:r>
              <w:rPr>
                <w:rFonts w:hint="eastAsia" w:ascii="宋体" w:hAnsi="宋体" w:cs="宋体"/>
                <w:bCs/>
                <w:kern w:val="36"/>
                <w:szCs w:val="21"/>
              </w:rPr>
              <w:t>交易内容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0" w:hRule="atLeast"/>
        </w:trPr>
        <w:tc>
          <w:tcPr>
            <w:tcW w:w="10152" w:type="dxa"/>
            <w:vAlign w:val="center"/>
          </w:tcPr>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0152" w:type="dxa"/>
            <w:vAlign w:val="center"/>
          </w:tcPr>
          <w:p>
            <w:pPr>
              <w:spacing w:line="280" w:lineRule="exact"/>
              <w:jc w:val="center"/>
              <w:rPr>
                <w:rFonts w:ascii="宋体" w:hAnsi="宋体"/>
                <w:szCs w:val="21"/>
              </w:rPr>
            </w:pPr>
            <w:r>
              <w:rPr>
                <w:rFonts w:hint="eastAsia" w:ascii="宋体" w:hAnsi="宋体" w:cs="宋体"/>
                <w:bCs/>
                <w:kern w:val="36"/>
                <w:szCs w:val="21"/>
              </w:rPr>
              <w:t>合约签约栏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trPr>
        <w:tc>
          <w:tcPr>
            <w:tcW w:w="10152" w:type="dxa"/>
          </w:tcPr>
          <w:p>
            <w:pPr>
              <w:spacing w:line="280" w:lineRule="exact"/>
              <w:rPr>
                <w:rFonts w:ascii="宋体" w:hAnsi="宋体" w:cs="宋体"/>
                <w:b/>
                <w:bCs/>
                <w:kern w:val="36"/>
                <w:szCs w:val="21"/>
              </w:rPr>
            </w:pPr>
            <w:r>
              <w:rPr>
                <w:rFonts w:hint="eastAsia" w:ascii="宋体" w:hAnsi="宋体" w:cs="宋体"/>
                <w:b/>
                <w:bCs/>
                <w:kern w:val="36"/>
                <w:szCs w:val="21"/>
              </w:rPr>
              <w:t>特别提示：</w:t>
            </w:r>
          </w:p>
          <w:p>
            <w:pPr>
              <w:spacing w:line="280" w:lineRule="exact"/>
              <w:ind w:firstLine="420" w:firstLineChars="200"/>
              <w:rPr>
                <w:rFonts w:ascii="宋体" w:hAnsi="宋体" w:cs="宋体"/>
                <w:bCs/>
                <w:kern w:val="36"/>
                <w:szCs w:val="21"/>
              </w:rPr>
            </w:pPr>
            <w:r>
              <w:rPr>
                <w:rFonts w:hint="eastAsia" w:ascii="宋体" w:hAnsi="宋体"/>
                <w:szCs w:val="21"/>
              </w:rPr>
              <w:t>一</w:t>
            </w:r>
            <w:r>
              <w:rPr>
                <w:rFonts w:hint="eastAsia" w:ascii="宋体" w:hAnsi="宋体" w:cs="宋体"/>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pPr>
              <w:spacing w:line="280" w:lineRule="exact"/>
              <w:ind w:firstLine="420" w:firstLineChars="200"/>
              <w:rPr>
                <w:rFonts w:ascii="宋体" w:hAnsi="宋体" w:cs="宋体"/>
                <w:bCs/>
                <w:kern w:val="36"/>
                <w:szCs w:val="21"/>
              </w:rPr>
            </w:pPr>
            <w:r>
              <w:rPr>
                <w:rFonts w:hint="eastAsia" w:ascii="宋体" w:hAnsi="宋体" w:cs="宋体"/>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pPr>
              <w:spacing w:line="280" w:lineRule="exact"/>
              <w:ind w:firstLine="420" w:firstLineChars="200"/>
              <w:rPr>
                <w:rFonts w:ascii="宋体" w:hAnsi="宋体" w:cs="宋体"/>
                <w:bCs/>
                <w:kern w:val="36"/>
                <w:szCs w:val="21"/>
              </w:rPr>
            </w:pPr>
            <w:r>
              <w:rPr>
                <w:rFonts w:hint="eastAsia" w:ascii="宋体" w:hAnsi="宋体" w:cs="宋体"/>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pPr>
              <w:spacing w:line="280" w:lineRule="exact"/>
              <w:ind w:firstLine="420" w:firstLineChars="200"/>
              <w:rPr>
                <w:rFonts w:ascii="宋体" w:hAnsi="宋体"/>
                <w:szCs w:val="21"/>
              </w:rPr>
            </w:pPr>
            <w:r>
              <w:rPr>
                <w:rFonts w:hint="eastAsia" w:ascii="宋体" w:hAnsi="宋体" w:cs="宋体"/>
                <w:bCs/>
                <w:kern w:val="36"/>
                <w:szCs w:val="21"/>
              </w:rPr>
              <w:t>四、</w:t>
            </w:r>
            <w:r>
              <w:rPr>
                <w:rFonts w:hint="eastAsia" w:ascii="宋体" w:hAnsi="宋体"/>
                <w:szCs w:val="21"/>
              </w:rPr>
              <w:t>本协议有效期间客户因存折挂失、换卡等行为而导致理财账户发生变化的，需到签署网点办理账号变更手续。</w:t>
            </w:r>
          </w:p>
          <w:p>
            <w:pPr>
              <w:spacing w:line="280" w:lineRule="exact"/>
              <w:ind w:firstLine="420" w:firstLineChars="200"/>
              <w:rPr>
                <w:rFonts w:ascii="宋体" w:hAnsi="宋体"/>
                <w:szCs w:val="21"/>
              </w:rPr>
            </w:pPr>
            <w:r>
              <w:rPr>
                <w:rFonts w:hint="eastAsia" w:ascii="宋体" w:hAnsi="宋体"/>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pPr>
              <w:spacing w:line="280" w:lineRule="exact"/>
              <w:ind w:firstLine="420" w:firstLineChars="200"/>
              <w:rPr>
                <w:rFonts w:ascii="宋体" w:hAnsi="宋体"/>
                <w:szCs w:val="21"/>
              </w:rPr>
            </w:pPr>
            <w:r>
              <w:rPr>
                <w:rFonts w:hint="eastAsia" w:ascii="宋体" w:hAnsi="宋体"/>
                <w:b/>
                <w:szCs w:val="21"/>
              </w:rPr>
              <w:t>客户与销售银行双方特此确认</w:t>
            </w:r>
            <w:r>
              <w:rPr>
                <w:rFonts w:hint="eastAsia" w:ascii="宋体" w:hAnsi="宋体"/>
                <w:szCs w:val="21"/>
              </w:rPr>
              <w:t>：在客户签署本合同之前，销售银行已就本协议书及相应的产品说明书</w:t>
            </w:r>
            <w:r>
              <w:rPr>
                <w:rFonts w:hint="eastAsia" w:ascii="宋体" w:hAnsi="宋体" w:cs="宋体"/>
                <w:bCs/>
                <w:kern w:val="36"/>
                <w:szCs w:val="21"/>
              </w:rPr>
              <w:t>、风险揭示书和客户权益须知</w:t>
            </w:r>
            <w:r>
              <w:rPr>
                <w:rFonts w:hint="eastAsia" w:ascii="宋体" w:hAnsi="宋体"/>
                <w:szCs w:val="21"/>
              </w:rPr>
              <w:t>中的全部条款和内容向客户进行了详细说明和解释，客户已不存在任何疑问或异议，并对合同双方的权利、义务、责任与风险有清楚和准确的理解。</w:t>
            </w:r>
          </w:p>
          <w:p>
            <w:pPr>
              <w:spacing w:line="280" w:lineRule="exact"/>
              <w:ind w:firstLine="420" w:firstLineChars="200"/>
              <w:rPr>
                <w:rFonts w:ascii="宋体" w:hAnsi="宋体"/>
                <w:szCs w:val="21"/>
              </w:rPr>
            </w:pPr>
          </w:p>
          <w:p>
            <w:pPr>
              <w:spacing w:line="280" w:lineRule="exact"/>
              <w:ind w:firstLine="420" w:firstLineChars="200"/>
              <w:rPr>
                <w:rFonts w:ascii="宋体" w:hAnsi="宋体"/>
                <w:szCs w:val="21"/>
              </w:rPr>
            </w:pPr>
          </w:p>
          <w:p>
            <w:pPr>
              <w:rPr>
                <w:rFonts w:ascii="宋体" w:hAnsi="宋体"/>
                <w:b/>
                <w:szCs w:val="21"/>
              </w:rPr>
            </w:pPr>
            <w:r>
              <w:rPr>
                <w:rFonts w:hint="eastAsia" w:ascii="宋体" w:hAnsi="宋体"/>
                <w:b/>
                <w:szCs w:val="21"/>
              </w:rPr>
              <w:t>甲方：                                             乙方：</w:t>
            </w:r>
          </w:p>
          <w:p>
            <w:pPr>
              <w:rPr>
                <w:rFonts w:ascii="宋体" w:hAnsi="宋体"/>
                <w:szCs w:val="21"/>
              </w:rPr>
            </w:pPr>
            <w:r>
              <w:rPr>
                <w:rFonts w:hint="eastAsia" w:ascii="宋体" w:hAnsi="宋体"/>
                <w:szCs w:val="21"/>
              </w:rPr>
              <w:t>个人客户（签字）：                                  销售银行签章（机构）：</w:t>
            </w:r>
          </w:p>
          <w:p>
            <w:pPr>
              <w:rPr>
                <w:rFonts w:ascii="宋体" w:hAnsi="宋体"/>
                <w:szCs w:val="21"/>
              </w:rPr>
            </w:pPr>
            <w:r>
              <w:rPr>
                <w:rFonts w:hint="eastAsia" w:ascii="宋体" w:hAnsi="宋体"/>
                <w:szCs w:val="21"/>
              </w:rPr>
              <w:t>日期：                                             （加盖经办行“业务公章”）</w:t>
            </w:r>
          </w:p>
          <w:p>
            <w:pPr>
              <w:rPr>
                <w:rFonts w:ascii="宋体" w:hAnsi="宋体"/>
                <w:szCs w:val="21"/>
              </w:rPr>
            </w:pPr>
          </w:p>
          <w:p>
            <w:pPr>
              <w:rPr>
                <w:rFonts w:ascii="宋体" w:hAnsi="宋体"/>
                <w:szCs w:val="21"/>
              </w:rPr>
            </w:pPr>
            <w:r>
              <w:rPr>
                <w:rFonts w:hint="eastAsia" w:ascii="宋体" w:hAnsi="宋体"/>
                <w:szCs w:val="21"/>
              </w:rPr>
              <w:t>机构客户（签章）：                                  理财销售人员：</w:t>
            </w:r>
          </w:p>
          <w:p>
            <w:pPr>
              <w:rPr>
                <w:rFonts w:ascii="宋体" w:hAnsi="宋体"/>
                <w:szCs w:val="21"/>
              </w:rPr>
            </w:pPr>
            <w:r>
              <w:rPr>
                <w:rFonts w:hint="eastAsia" w:ascii="宋体" w:hAnsi="宋体"/>
                <w:szCs w:val="21"/>
              </w:rPr>
              <w:t xml:space="preserve">法定代表人（或授权代理人）：                        经办行经办人员：     </w:t>
            </w:r>
          </w:p>
          <w:p>
            <w:pPr>
              <w:spacing w:line="280" w:lineRule="exact"/>
              <w:rPr>
                <w:rFonts w:ascii="宋体" w:hAnsi="宋体" w:cs="宋体"/>
                <w:b/>
                <w:bCs/>
                <w:kern w:val="36"/>
                <w:szCs w:val="21"/>
              </w:rPr>
            </w:pPr>
            <w:r>
              <w:rPr>
                <w:rFonts w:hint="eastAsia" w:ascii="宋体" w:hAnsi="宋体"/>
                <w:szCs w:val="21"/>
              </w:rPr>
              <w:t>日期：                                             日期：</w:t>
            </w:r>
          </w:p>
          <w:p>
            <w:pPr>
              <w:spacing w:line="280" w:lineRule="exact"/>
              <w:ind w:firstLine="420" w:firstLineChars="200"/>
              <w:rPr>
                <w:rFonts w:ascii="宋体" w:hAnsi="宋体"/>
                <w:szCs w:val="21"/>
              </w:rPr>
            </w:pPr>
          </w:p>
        </w:tc>
      </w:tr>
    </w:tbl>
    <w:p/>
    <w:p>
      <w:bookmarkStart w:id="2" w:name="_GoBack"/>
      <w:bookmarkEnd w:id="2"/>
    </w:p>
    <w:sectPr>
      <w:footerReference r:id="rId3" w:type="default"/>
      <w:pgSz w:w="11906" w:h="16838"/>
      <w:pgMar w:top="1247" w:right="1531" w:bottom="1247" w:left="147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_GB2312,Bold">
    <w:altName w:val="黑体"/>
    <w:panose1 w:val="00000000000000000000"/>
    <w:charset w:val="86"/>
    <w:family w:val="auto"/>
    <w:pitch w:val="default"/>
    <w:sig w:usb0="00000000" w:usb1="00000000" w:usb2="00000010" w:usb3="00000000" w:csb0="00040000" w:csb1="00000000"/>
  </w:font>
  <w:font w:name="¿¬Ìå_GB2312">
    <w:altName w:val="Arial"/>
    <w:panose1 w:val="00000000000000000000"/>
    <w:charset w:val="00"/>
    <w:family w:val="modern"/>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300B"/>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69D0"/>
    <w:rsid w:val="00407312"/>
    <w:rsid w:val="0040739C"/>
    <w:rsid w:val="00407900"/>
    <w:rsid w:val="004102EB"/>
    <w:rsid w:val="004114A1"/>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C14"/>
    <w:rsid w:val="004B5636"/>
    <w:rsid w:val="004B5D88"/>
    <w:rsid w:val="004C2E03"/>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4239"/>
    <w:rsid w:val="004F5B11"/>
    <w:rsid w:val="004F6E54"/>
    <w:rsid w:val="00500600"/>
    <w:rsid w:val="00504FBC"/>
    <w:rsid w:val="00512490"/>
    <w:rsid w:val="0051510E"/>
    <w:rsid w:val="005200BE"/>
    <w:rsid w:val="00524287"/>
    <w:rsid w:val="00534C17"/>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6022"/>
    <w:rsid w:val="00A67045"/>
    <w:rsid w:val="00A706F0"/>
    <w:rsid w:val="00A75B57"/>
    <w:rsid w:val="00A813DE"/>
    <w:rsid w:val="00A821B5"/>
    <w:rsid w:val="00A84822"/>
    <w:rsid w:val="00A8609B"/>
    <w:rsid w:val="00A8693B"/>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F181D"/>
    <w:rsid w:val="00BF3D3E"/>
    <w:rsid w:val="00BF49BE"/>
    <w:rsid w:val="00C004CF"/>
    <w:rsid w:val="00C06401"/>
    <w:rsid w:val="00C06D1D"/>
    <w:rsid w:val="00C11209"/>
    <w:rsid w:val="00C11303"/>
    <w:rsid w:val="00C11FFB"/>
    <w:rsid w:val="00C13AE8"/>
    <w:rsid w:val="00C147DC"/>
    <w:rsid w:val="00C229F3"/>
    <w:rsid w:val="00C22A1C"/>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816"/>
    <w:rsid w:val="00CD00CA"/>
    <w:rsid w:val="00CD0A44"/>
    <w:rsid w:val="00CD42F7"/>
    <w:rsid w:val="00CE2B58"/>
    <w:rsid w:val="00CE3871"/>
    <w:rsid w:val="00CE3A20"/>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348"/>
    <w:rsid w:val="00E223DA"/>
    <w:rsid w:val="00E26C95"/>
    <w:rsid w:val="00E33228"/>
    <w:rsid w:val="00E33336"/>
    <w:rsid w:val="00E3699F"/>
    <w:rsid w:val="00E417E0"/>
    <w:rsid w:val="00E43B5D"/>
    <w:rsid w:val="00E477AD"/>
    <w:rsid w:val="00E507A2"/>
    <w:rsid w:val="00E508A8"/>
    <w:rsid w:val="00E51845"/>
    <w:rsid w:val="00E54650"/>
    <w:rsid w:val="00E54B4A"/>
    <w:rsid w:val="00E55F4A"/>
    <w:rsid w:val="00E56829"/>
    <w:rsid w:val="00E56F7C"/>
    <w:rsid w:val="00E60A1D"/>
    <w:rsid w:val="00E61459"/>
    <w:rsid w:val="00E61B8C"/>
    <w:rsid w:val="00E64255"/>
    <w:rsid w:val="00E64F90"/>
    <w:rsid w:val="00E65E58"/>
    <w:rsid w:val="00E66889"/>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E19"/>
    <w:rsid w:val="00FA51CC"/>
    <w:rsid w:val="00FA530D"/>
    <w:rsid w:val="00FA766F"/>
    <w:rsid w:val="00FA7920"/>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E68"/>
    <w:rsid w:val="00FE6A34"/>
    <w:rsid w:val="00FF210E"/>
    <w:rsid w:val="00FF2EC7"/>
    <w:rsid w:val="00FF3167"/>
    <w:rsid w:val="00FF37A2"/>
    <w:rsid w:val="00FF5240"/>
    <w:rsid w:val="00FF5F47"/>
    <w:rsid w:val="0527045A"/>
    <w:rsid w:val="08AA2BCD"/>
    <w:rsid w:val="0A540243"/>
    <w:rsid w:val="0C4B0A93"/>
    <w:rsid w:val="0D255A90"/>
    <w:rsid w:val="157B5846"/>
    <w:rsid w:val="171074AA"/>
    <w:rsid w:val="171403B1"/>
    <w:rsid w:val="19896D2D"/>
    <w:rsid w:val="1A4D1D32"/>
    <w:rsid w:val="1B4B7804"/>
    <w:rsid w:val="242719D1"/>
    <w:rsid w:val="3E7A51ED"/>
    <w:rsid w:val="484671A5"/>
    <w:rsid w:val="4DC649F3"/>
    <w:rsid w:val="541128CC"/>
    <w:rsid w:val="55D85BD7"/>
    <w:rsid w:val="620867CB"/>
    <w:rsid w:val="667015FB"/>
    <w:rsid w:val="6A415C99"/>
    <w:rsid w:val="6A6555DA"/>
    <w:rsid w:val="6C8C67C1"/>
    <w:rsid w:val="77161162"/>
    <w:rsid w:val="7BF841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4"/>
      <w:szCs w:val="20"/>
    </w:rPr>
  </w:style>
  <w:style w:type="paragraph" w:styleId="3">
    <w:name w:val="Body Text"/>
    <w:basedOn w:val="1"/>
    <w:qFormat/>
    <w:uiPriority w:val="0"/>
    <w:pPr>
      <w:spacing w:after="120"/>
    </w:pPr>
  </w:style>
  <w:style w:type="paragraph" w:styleId="4">
    <w:name w:val="Date"/>
    <w:basedOn w:val="1"/>
    <w:next w:val="1"/>
    <w:link w:val="18"/>
    <w:qFormat/>
    <w:uiPriority w:val="0"/>
    <w:pPr>
      <w:ind w:left="100" w:leftChars="2500"/>
    </w:p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9"/>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Char Char Char Char"/>
    <w:basedOn w:val="1"/>
    <w:qFormat/>
    <w:uiPriority w:val="0"/>
    <w:rPr>
      <w:rFonts w:ascii="Tahoma" w:hAnsi="Tahoma"/>
      <w:sz w:val="24"/>
    </w:rPr>
  </w:style>
  <w:style w:type="character" w:customStyle="1" w:styleId="15">
    <w:name w:val="页脚 字符"/>
    <w:basedOn w:val="11"/>
    <w:link w:val="6"/>
    <w:qFormat/>
    <w:uiPriority w:val="99"/>
    <w:rPr>
      <w:kern w:val="2"/>
      <w:sz w:val="18"/>
      <w:szCs w:val="18"/>
    </w:rPr>
  </w:style>
  <w:style w:type="paragraph" w:customStyle="1" w:styleId="16">
    <w:name w:val="默认段落字体 Para Char"/>
    <w:basedOn w:val="1"/>
    <w:qFormat/>
    <w:uiPriority w:val="0"/>
    <w:pPr>
      <w:tabs>
        <w:tab w:val="left" w:pos="360"/>
      </w:tabs>
      <w:spacing w:before="312" w:after="312" w:line="360" w:lineRule="auto"/>
    </w:pPr>
    <w:rPr>
      <w:szCs w:val="20"/>
    </w:rPr>
  </w:style>
  <w:style w:type="character" w:customStyle="1" w:styleId="17">
    <w:name w:val="批注框文本 字符"/>
    <w:basedOn w:val="11"/>
    <w:link w:val="5"/>
    <w:qFormat/>
    <w:uiPriority w:val="0"/>
    <w:rPr>
      <w:kern w:val="2"/>
      <w:sz w:val="18"/>
      <w:szCs w:val="18"/>
    </w:rPr>
  </w:style>
  <w:style w:type="character" w:customStyle="1" w:styleId="18">
    <w:name w:val="日期 字符"/>
    <w:basedOn w:val="11"/>
    <w:link w:val="4"/>
    <w:qFormat/>
    <w:uiPriority w:val="0"/>
    <w:rPr>
      <w:kern w:val="2"/>
      <w:sz w:val="21"/>
      <w:szCs w:val="24"/>
    </w:rPr>
  </w:style>
  <w:style w:type="character" w:customStyle="1" w:styleId="19">
    <w:name w:val="普通(网站) 字符"/>
    <w:basedOn w:val="11"/>
    <w:link w:val="8"/>
    <w:qFormat/>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ABFA4-0320-4C47-BE47-F8049DC72DC3}">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11</Pages>
  <Words>2003</Words>
  <Characters>11421</Characters>
  <Lines>95</Lines>
  <Paragraphs>26</Paragraphs>
  <TotalTime>0</TotalTime>
  <ScaleCrop>false</ScaleCrop>
  <LinksUpToDate>false</LinksUpToDate>
  <CharactersWithSpaces>13398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2019-11-14T01:20:00Z</dcterms:created>
  <dc:creator>潘建立</dc:creator>
  <cp:lastModifiedBy>Administrator</cp:lastModifiedBy>
  <cp:lastPrinted>2019-12-10T11:55:00Z</cp:lastPrinted>
  <dcterms:modified xsi:type="dcterms:W3CDTF">2025-07-17T06:36:15Z</dcterms:modified>
  <dc:title>宁波慈溪农村合作银行理财产品说明书</dc:title>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