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丰收信福2025年第536期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0" w:firstLineChars="200"/>
        <w:rPr>
          <w:rFonts w:ascii="宋体" w:hAnsi="宋体"/>
          <w:b/>
          <w:szCs w:val="21"/>
        </w:rPr>
      </w:pPr>
      <w:r>
        <w:rPr>
          <w:rFonts w:hint="eastAsia" w:ascii="宋体" w:hAnsi="宋体"/>
          <w:b/>
          <w:szCs w:val="21"/>
        </w:rPr>
        <w:t>理财非存款、产品有风险、投资须谨慎。</w:t>
      </w:r>
    </w:p>
    <w:p>
      <w:pPr>
        <w:spacing w:line="31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0"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5"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365</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0"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丰收信福2025年第536期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rFonts w:asciiTheme="minorEastAsia" w:hAnsiTheme="minorEastAsia"/>
          <w:b/>
        </w:rPr>
      </w:pPr>
      <w:bookmarkStart w:id="0" w:name="_Toc14190355"/>
    </w:p>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溪农村商业银行丰收信福2025年第536期封闭净值型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NBCXFSXF</w:t>
            </w:r>
            <w:r>
              <w:rPr>
                <w:rFonts w:hint="eastAsia" w:ascii="宋体" w:hAnsi="宋体"/>
                <w:szCs w:val="21"/>
              </w:rPr>
              <w:t>A</w:t>
            </w:r>
            <w:r>
              <w:rPr>
                <w:rFonts w:ascii="宋体" w:hAnsi="宋体"/>
                <w:szCs w:val="21"/>
              </w:rPr>
              <w:t>25536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ascii="宋体" w:hAnsi="宋体"/>
                <w:szCs w:val="21"/>
              </w:rPr>
              <w:t>C1123225000062</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
                <w:szCs w:val="21"/>
              </w:rPr>
            </w:pPr>
            <w:r>
              <w:rPr>
                <w:rFonts w:ascii="宋体" w:hAnsi="宋体"/>
                <w:b/>
                <w:szCs w:val="21"/>
              </w:rPr>
              <w:t>365</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cs="楷体_GB2312"/>
                <w:szCs w:val="21"/>
              </w:rPr>
              <w:t>投资及收益币种</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6000</w:t>
            </w:r>
            <w:r>
              <w:rPr>
                <w:rFonts w:hint="eastAsia" w:ascii="宋体" w:hAnsi="宋体"/>
                <w:b/>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w:t>
            </w:r>
            <w:r>
              <w:rPr>
                <w:rFonts w:ascii="宋体" w:hAnsi="宋体"/>
                <w:szCs w:val="21"/>
              </w:rPr>
              <w:t>12</w:t>
            </w:r>
            <w:r>
              <w:rPr>
                <w:rFonts w:hint="eastAsia" w:ascii="宋体" w:hAnsi="宋体"/>
                <w:szCs w:val="21"/>
              </w:rPr>
              <w:t>:</w:t>
            </w:r>
            <w:r>
              <w:rPr>
                <w:rFonts w:ascii="宋体" w:hAnsi="宋体"/>
                <w:szCs w:val="21"/>
              </w:rPr>
              <w:t>0</w:t>
            </w:r>
            <w:r>
              <w:rPr>
                <w:rFonts w:hint="eastAsia" w:ascii="宋体" w:hAnsi="宋体"/>
                <w:szCs w:val="21"/>
              </w:rPr>
              <w:t>0）至202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16</w:t>
            </w:r>
            <w:r>
              <w:rPr>
                <w:rFonts w:hint="eastAsia" w:ascii="宋体" w:hAnsi="宋体"/>
                <w:szCs w:val="21"/>
              </w:rPr>
              <w:t>日</w:t>
            </w:r>
            <w:r>
              <w:rPr>
                <w:rFonts w:ascii="宋体" w:hAnsi="宋体"/>
                <w:szCs w:val="21"/>
              </w:rPr>
              <w:t>（</w:t>
            </w:r>
            <w:r>
              <w:rPr>
                <w:rFonts w:hint="eastAsia" w:ascii="宋体" w:hAnsi="宋体"/>
                <w:szCs w:val="21"/>
              </w:rPr>
              <w:t>1</w:t>
            </w:r>
            <w:r>
              <w:rPr>
                <w:rFonts w:ascii="宋体" w:hAnsi="宋体"/>
                <w:szCs w:val="21"/>
              </w:rPr>
              <w:t>7</w:t>
            </w:r>
            <w:r>
              <w:rPr>
                <w:rFonts w:hint="eastAsia" w:ascii="宋体" w:hAnsi="宋体"/>
                <w:szCs w:val="21"/>
              </w:rPr>
              <w:t>:</w:t>
            </w:r>
            <w:r>
              <w:rPr>
                <w:rFonts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2</w:t>
            </w:r>
            <w:r>
              <w:rPr>
                <w:rFonts w:hint="eastAsia" w:ascii="宋体" w:hAnsi="宋体"/>
                <w:b/>
                <w:szCs w:val="21"/>
              </w:rPr>
              <w:t>.</w:t>
            </w:r>
            <w:r>
              <w:rPr>
                <w:rFonts w:ascii="宋体" w:hAnsi="宋体"/>
                <w:b/>
                <w:szCs w:val="21"/>
              </w:rPr>
              <w:t>0</w:t>
            </w:r>
            <w:r>
              <w:rPr>
                <w:rFonts w:hint="eastAsia" w:ascii="宋体" w:hAnsi="宋体"/>
                <w:b/>
                <w:szCs w:val="21"/>
              </w:rPr>
              <w:t>%-</w:t>
            </w:r>
            <w:r>
              <w:rPr>
                <w:rFonts w:ascii="宋体" w:hAnsi="宋体"/>
                <w:b/>
                <w:szCs w:val="21"/>
              </w:rPr>
              <w:t>3.1</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估值外包服务机构</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楷体_GB2312"/>
                <w:szCs w:val="21"/>
              </w:rPr>
              <w:t>兴业银行股份有限公司</w:t>
            </w:r>
            <w:r>
              <w:rPr>
                <w:rFonts w:hint="eastAsia" w:ascii="宋体" w:hAnsi="宋体" w:cs="宋体"/>
                <w:kern w:val="0"/>
                <w:szCs w:val="21"/>
              </w:rPr>
              <w:t>。</w:t>
            </w:r>
            <w:r>
              <w:rPr>
                <w:rFonts w:hint="eastAsia" w:ascii="宋体" w:hAnsi="宋体" w:cs="楷体_GB2312"/>
                <w:szCs w:val="21"/>
              </w:rPr>
              <w:t>兴业银行股份有限公司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提前终止权</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主要风险提示</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销售渠道</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其他规定</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ind w:firstLine="420" w:firstLineChars="200"/>
        <w:rPr>
          <w:rFonts w:ascii="宋体" w:hAnsi="宋体" w:cs="宋体"/>
          <w:bCs/>
          <w:iCs/>
          <w:color w:val="000000"/>
          <w:kern w:val="0"/>
          <w:szCs w:val="21"/>
        </w:rPr>
      </w:pPr>
      <w:r>
        <w:rPr>
          <w:rFonts w:hint="eastAsia" w:ascii="宋体" w:hAnsi="宋体"/>
          <w:szCs w:val="21"/>
        </w:rPr>
        <w:t>3.特别提示：慈溪农村商业银行将本着诚实信用、谨慎勤勉的原则，在规定的范围内运用理财资金进行投资，投资比例可在不影响客</w:t>
      </w:r>
      <w:r>
        <w:rPr>
          <w:rFonts w:hint="eastAsia" w:ascii="宋体" w:hAnsi="宋体" w:cs="宋体"/>
          <w:bCs/>
          <w:iCs/>
          <w:color w:val="000000"/>
          <w:kern w:val="0"/>
          <w:szCs w:val="21"/>
        </w:rPr>
        <w:t>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 xml:space="preserve"> 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本产品投资资产管理产品的发行机构包括但不限于兴证证券资产管理有限公司。兴证证券资产管理有限公司，</w:t>
      </w:r>
      <w:r>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兴证资管在上海设立分公司，具备证券资产管理业务资格、受托管理保险资金业务资格、合格境内机构投资者从事境外证券投资管理资格，依法从事证券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本产品托管银行为兴业银行股份有限公司杭州分行，兴业银行股份有限公司担任本产品的估值核算等业务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外包服务机构，收取的托管费年化费率为0.01%，估值外包服务费年化费率为0.005%，每日计提，于理财到期/终止清算分配时从理财财产中支付。</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本产品每日计提的托管费计算方式为：该前一日资产净值×0.01%／365。</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本产品每日计提的估值外包服务费计算方式为：该前一日资产净值×0.005%／365。</w:t>
      </w:r>
    </w:p>
    <w:p>
      <w:pPr>
        <w:spacing w:line="360" w:lineRule="exact"/>
        <w:ind w:firstLine="420" w:firstLineChars="200"/>
        <w:rPr>
          <w:rFonts w:ascii="宋体" w:hAnsi="宋体" w:cs="宋体"/>
          <w:b/>
          <w:kern w:val="0"/>
          <w:szCs w:val="21"/>
        </w:rPr>
      </w:pPr>
      <w:r>
        <w:rPr>
          <w:rFonts w:hint="eastAsia" w:ascii="宋体" w:hAnsi="宋体" w:cs="宋体"/>
          <w:b/>
          <w:kern w:val="0"/>
          <w:szCs w:val="21"/>
        </w:rPr>
        <w:t>4.本产品不收取销售费。</w:t>
      </w:r>
    </w:p>
    <w:p>
      <w:pPr>
        <w:spacing w:line="360" w:lineRule="exact"/>
        <w:ind w:firstLine="420" w:firstLineChars="200"/>
        <w:rPr>
          <w:rFonts w:ascii="宋体" w:hAnsi="宋体" w:cs="宋体"/>
          <w:b/>
          <w:kern w:val="0"/>
          <w:szCs w:val="21"/>
        </w:rPr>
      </w:pPr>
      <w:r>
        <w:rPr>
          <w:rFonts w:hint="eastAsia" w:ascii="宋体" w:hAnsi="宋体" w:cs="宋体"/>
          <w:b/>
          <w:kern w:val="0"/>
          <w:szCs w:val="21"/>
        </w:rPr>
        <w:t>5.浮动管理费</w:t>
      </w:r>
    </w:p>
    <w:p>
      <w:pPr>
        <w:spacing w:line="360" w:lineRule="exact"/>
        <w:ind w:firstLine="420" w:firstLineChars="200"/>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autoSpaceDE w:val="0"/>
        <w:autoSpaceDN w:val="0"/>
        <w:spacing w:line="360" w:lineRule="exact"/>
        <w:ind w:firstLine="420" w:firstLineChars="200"/>
        <w:jc w:val="left"/>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firstLine="420" w:firstLineChars="200"/>
        <w:rPr>
          <w:rFonts w:ascii="方正小标宋简体" w:eastAsia="方正小标宋简体"/>
          <w:sz w:val="32"/>
          <w:szCs w:val="32"/>
        </w:rPr>
      </w:pPr>
      <w:r>
        <w:rPr>
          <w:rFonts w:hint="eastAsia" w:ascii="宋体" w:hAnsi="宋体" w:cs="楷体_GB2312"/>
          <w:szCs w:val="21"/>
        </w:rPr>
        <w:t>日期：     年   月   日                  日期：    年    月   日</w:t>
      </w:r>
      <w:bookmarkEnd w:id="0"/>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丰收信福2025年第536期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40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bookmarkStart w:id="1" w:name="_GoBack"/>
            <w:bookmarkEnd w:id="1"/>
            <w:r>
              <w:rPr>
                <w:rFonts w:ascii="宋体" w:hAnsi="宋体"/>
                <w:szCs w:val="21"/>
              </w:rPr>
              <w:pict>
                <v:shape id="_x0000_s1072" o:spid="_x0000_s1072" o:spt="202" type="#_x0000_t202" style="position:absolute;left:0pt;margin-left:507.15pt;margin-top:20.1pt;height:136.1pt;width:32.4pt;z-index:251659264;mso-width-relative:page;mso-height-relative:page;" filled="f" stroked="f" coordsize="21600,21600">
                  <v:path/>
                  <v:fill on="f" focussize="0,0"/>
                  <v:stroke on="f" joinstyle="miter"/>
                  <v:imagedata o:title=""/>
                  <o:lock v:ext="edit"/>
                  <v:textbox style="layout-flow:vertical-ideographic;">
                    <w:txbxContent>
                      <w:p/>
                    </w:txbxContent>
                  </v:textbox>
                </v:shape>
              </w:pic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Pr>
        <w:spacing w:line="640" w:lineRule="exact"/>
      </w:pPr>
    </w:p>
    <w:p/>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2025-09-11T02:42:43Z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